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2BB" w:rsidRDefault="008E12BB" w:rsidP="008E12BB">
      <w:pPr>
        <w:spacing w:after="0"/>
        <w:jc w:val="center"/>
        <w:rPr>
          <w:rFonts w:ascii="Verdana" w:hAnsi="Verdana"/>
          <w:b/>
          <w:sz w:val="28"/>
          <w:szCs w:val="28"/>
        </w:rPr>
      </w:pPr>
    </w:p>
    <w:p w:rsidR="008E12BB" w:rsidRPr="005029F8" w:rsidRDefault="008E12BB" w:rsidP="008E12BB">
      <w:pPr>
        <w:shd w:val="clear" w:color="auto" w:fill="002060"/>
        <w:rPr>
          <w:sz w:val="28"/>
        </w:rPr>
      </w:pPr>
      <w:r w:rsidRPr="005029F8">
        <w:rPr>
          <w:sz w:val="28"/>
        </w:rPr>
        <w:t>COMMUNIQUE DE PRESSE GS1</w:t>
      </w:r>
      <w:r>
        <w:rPr>
          <w:sz w:val="28"/>
        </w:rPr>
        <w:t xml:space="preserve"> FRANCE</w:t>
      </w:r>
      <w:r w:rsidRPr="005029F8">
        <w:rPr>
          <w:sz w:val="28"/>
        </w:rPr>
        <w:t xml:space="preserve">     </w:t>
      </w:r>
      <w:r>
        <w:rPr>
          <w:sz w:val="28"/>
        </w:rPr>
        <w:t xml:space="preserve">              </w:t>
      </w:r>
      <w:r w:rsidR="00C35B56">
        <w:rPr>
          <w:sz w:val="28"/>
        </w:rPr>
        <w:t xml:space="preserve">                              OCTO</w:t>
      </w:r>
      <w:r w:rsidR="00B4417D">
        <w:rPr>
          <w:sz w:val="28"/>
        </w:rPr>
        <w:t>BRE</w:t>
      </w:r>
      <w:r>
        <w:rPr>
          <w:sz w:val="28"/>
        </w:rPr>
        <w:t xml:space="preserve"> 2017</w:t>
      </w:r>
      <w:r w:rsidRPr="005029F8">
        <w:rPr>
          <w:sz w:val="28"/>
        </w:rPr>
        <w:t xml:space="preserve">     </w:t>
      </w:r>
    </w:p>
    <w:p w:rsidR="008E12BB" w:rsidRDefault="008E12BB" w:rsidP="008E12BB">
      <w:pPr>
        <w:spacing w:after="0"/>
        <w:rPr>
          <w:rFonts w:ascii="Verdana" w:hAnsi="Verdana"/>
          <w:b/>
          <w:sz w:val="28"/>
          <w:szCs w:val="28"/>
        </w:rPr>
      </w:pPr>
    </w:p>
    <w:p w:rsidR="00B4417D" w:rsidRPr="00B4417D" w:rsidRDefault="00E9673C" w:rsidP="00B4417D">
      <w:pPr>
        <w:jc w:val="center"/>
        <w:rPr>
          <w:rFonts w:ascii="Verdana" w:hAnsi="Verdana"/>
          <w:b/>
          <w:sz w:val="28"/>
          <w:szCs w:val="28"/>
        </w:rPr>
      </w:pPr>
      <w:r>
        <w:rPr>
          <w:rFonts w:ascii="Verdana" w:hAnsi="Verdana"/>
          <w:b/>
          <w:sz w:val="28"/>
          <w:szCs w:val="28"/>
        </w:rPr>
        <w:t xml:space="preserve">GS1 </w:t>
      </w:r>
      <w:r w:rsidR="000A1CE6">
        <w:rPr>
          <w:rFonts w:ascii="Verdana" w:hAnsi="Verdana"/>
          <w:b/>
          <w:sz w:val="28"/>
          <w:szCs w:val="28"/>
        </w:rPr>
        <w:t xml:space="preserve">France </w:t>
      </w:r>
      <w:r>
        <w:rPr>
          <w:rFonts w:ascii="Verdana" w:hAnsi="Verdana"/>
          <w:b/>
          <w:sz w:val="28"/>
          <w:szCs w:val="28"/>
        </w:rPr>
        <w:t>célèbre le World Standards Day</w:t>
      </w:r>
    </w:p>
    <w:p w:rsidR="008E12BB" w:rsidRPr="00B65A6E" w:rsidRDefault="008E12BB" w:rsidP="008E12BB">
      <w:pPr>
        <w:rPr>
          <w:rFonts w:ascii="Verdana" w:hAnsi="Verdana"/>
          <w:sz w:val="20"/>
          <w:szCs w:val="20"/>
        </w:rPr>
      </w:pPr>
    </w:p>
    <w:p w:rsidR="00B4417D" w:rsidRPr="002C55AF" w:rsidRDefault="00B4417D" w:rsidP="002C55AF">
      <w:pPr>
        <w:jc w:val="both"/>
        <w:rPr>
          <w:rFonts w:ascii="Verdana" w:hAnsi="Verdana"/>
          <w:b/>
          <w:sz w:val="20"/>
          <w:szCs w:val="20"/>
        </w:rPr>
      </w:pPr>
      <w:r w:rsidRPr="002C55AF">
        <w:rPr>
          <w:rFonts w:ascii="Verdana" w:hAnsi="Verdana"/>
          <w:b/>
          <w:sz w:val="20"/>
          <w:szCs w:val="20"/>
        </w:rPr>
        <w:t xml:space="preserve">GS1, l’organisation mondiale de standardisation des échanges commerciaux, </w:t>
      </w:r>
      <w:r w:rsidR="00E9673C">
        <w:rPr>
          <w:rFonts w:ascii="Verdana" w:hAnsi="Verdana"/>
          <w:b/>
          <w:sz w:val="20"/>
          <w:szCs w:val="20"/>
        </w:rPr>
        <w:t>célèbre le World Standards Day</w:t>
      </w:r>
      <w:r w:rsidR="004069EE">
        <w:rPr>
          <w:rFonts w:ascii="Verdana" w:hAnsi="Verdana"/>
          <w:b/>
          <w:sz w:val="20"/>
          <w:szCs w:val="20"/>
        </w:rPr>
        <w:t xml:space="preserve"> (14 0ctobre 2017)</w:t>
      </w:r>
      <w:bookmarkStart w:id="0" w:name="_GoBack"/>
      <w:bookmarkEnd w:id="0"/>
      <w:r w:rsidR="00E9673C">
        <w:rPr>
          <w:rFonts w:ascii="Verdana" w:hAnsi="Verdana"/>
          <w:b/>
          <w:sz w:val="20"/>
          <w:szCs w:val="20"/>
        </w:rPr>
        <w:t xml:space="preserve"> et choisit pour cela de mettre en lumière </w:t>
      </w:r>
      <w:r w:rsidR="00E06508">
        <w:rPr>
          <w:rFonts w:ascii="Verdana" w:hAnsi="Verdana"/>
          <w:b/>
          <w:sz w:val="20"/>
          <w:szCs w:val="20"/>
        </w:rPr>
        <w:t>l’usage</w:t>
      </w:r>
      <w:r w:rsidR="00E9673C">
        <w:rPr>
          <w:rFonts w:ascii="Verdana" w:hAnsi="Verdana"/>
          <w:b/>
          <w:sz w:val="20"/>
          <w:szCs w:val="20"/>
        </w:rPr>
        <w:t xml:space="preserve"> des standards dans le secteur de la santé</w:t>
      </w:r>
      <w:r w:rsidRPr="002C55AF">
        <w:rPr>
          <w:rFonts w:ascii="Verdana" w:hAnsi="Verdana"/>
          <w:b/>
          <w:sz w:val="20"/>
          <w:szCs w:val="20"/>
        </w:rPr>
        <w:t>.</w:t>
      </w:r>
      <w:r w:rsidR="00E9673C">
        <w:rPr>
          <w:rFonts w:ascii="Verdana" w:hAnsi="Verdana"/>
          <w:b/>
          <w:sz w:val="20"/>
          <w:szCs w:val="20"/>
        </w:rPr>
        <w:t xml:space="preserve"> </w:t>
      </w:r>
      <w:r w:rsidR="00582514">
        <w:rPr>
          <w:rFonts w:ascii="Verdana" w:hAnsi="Verdana"/>
          <w:b/>
          <w:sz w:val="20"/>
          <w:szCs w:val="20"/>
        </w:rPr>
        <w:t xml:space="preserve">Une </w:t>
      </w:r>
      <w:r w:rsidR="00E9673C">
        <w:rPr>
          <w:rFonts w:ascii="Verdana" w:hAnsi="Verdana"/>
          <w:b/>
          <w:sz w:val="20"/>
          <w:szCs w:val="20"/>
        </w:rPr>
        <w:t>utilisation</w:t>
      </w:r>
      <w:r w:rsidR="00582514">
        <w:rPr>
          <w:rFonts w:ascii="Verdana" w:hAnsi="Verdana"/>
          <w:b/>
          <w:sz w:val="20"/>
          <w:szCs w:val="20"/>
        </w:rPr>
        <w:t xml:space="preserve"> </w:t>
      </w:r>
      <w:r w:rsidR="00582514" w:rsidRPr="001607D9">
        <w:rPr>
          <w:rFonts w:ascii="Verdana" w:hAnsi="Verdana"/>
          <w:b/>
          <w:sz w:val="20"/>
          <w:szCs w:val="20"/>
        </w:rPr>
        <w:t>synonyme</w:t>
      </w:r>
      <w:r w:rsidR="00771624" w:rsidRPr="001607D9">
        <w:rPr>
          <w:rFonts w:ascii="Verdana" w:hAnsi="Verdana"/>
          <w:b/>
          <w:sz w:val="20"/>
          <w:szCs w:val="20"/>
        </w:rPr>
        <w:t xml:space="preserve"> de bénéfices</w:t>
      </w:r>
      <w:r w:rsidR="00E9673C" w:rsidRPr="001607D9">
        <w:rPr>
          <w:rFonts w:ascii="Verdana" w:hAnsi="Verdana"/>
          <w:b/>
          <w:sz w:val="20"/>
          <w:szCs w:val="20"/>
        </w:rPr>
        <w:t xml:space="preserve"> </w:t>
      </w:r>
      <w:r w:rsidR="00771624" w:rsidRPr="001607D9">
        <w:rPr>
          <w:rFonts w:ascii="Verdana" w:hAnsi="Verdana"/>
          <w:b/>
          <w:sz w:val="20"/>
          <w:szCs w:val="20"/>
        </w:rPr>
        <w:t xml:space="preserve">majeurs à la fois </w:t>
      </w:r>
      <w:r w:rsidR="000A1CE6" w:rsidRPr="001607D9">
        <w:rPr>
          <w:rFonts w:ascii="Verdana" w:hAnsi="Verdana"/>
          <w:b/>
          <w:sz w:val="20"/>
          <w:szCs w:val="20"/>
        </w:rPr>
        <w:t>pour les patients et les acteurs</w:t>
      </w:r>
      <w:r w:rsidR="00E9673C" w:rsidRPr="001607D9">
        <w:rPr>
          <w:rFonts w:ascii="Verdana" w:hAnsi="Verdana"/>
          <w:b/>
          <w:sz w:val="20"/>
          <w:szCs w:val="20"/>
        </w:rPr>
        <w:t xml:space="preserve"> </w:t>
      </w:r>
      <w:r w:rsidR="000A1CE6" w:rsidRPr="001607D9">
        <w:rPr>
          <w:rFonts w:ascii="Verdana" w:hAnsi="Verdana"/>
          <w:b/>
          <w:sz w:val="20"/>
          <w:szCs w:val="20"/>
        </w:rPr>
        <w:t>de la filière santé</w:t>
      </w:r>
      <w:r w:rsidR="00E9673C" w:rsidRPr="001607D9">
        <w:rPr>
          <w:rFonts w:ascii="Verdana" w:hAnsi="Verdana"/>
          <w:b/>
          <w:sz w:val="20"/>
          <w:szCs w:val="20"/>
        </w:rPr>
        <w:t>.</w:t>
      </w:r>
    </w:p>
    <w:p w:rsidR="00B4417D" w:rsidRPr="001607D9" w:rsidRDefault="008F2227" w:rsidP="002C55AF">
      <w:pPr>
        <w:pStyle w:val="Default"/>
        <w:jc w:val="both"/>
        <w:rPr>
          <w:strike/>
          <w:color w:val="auto"/>
          <w:sz w:val="20"/>
          <w:szCs w:val="20"/>
        </w:rPr>
      </w:pPr>
      <w:r>
        <w:rPr>
          <w:sz w:val="20"/>
          <w:szCs w:val="20"/>
        </w:rPr>
        <w:t xml:space="preserve">Très </w:t>
      </w:r>
      <w:r w:rsidR="0071761F">
        <w:rPr>
          <w:sz w:val="20"/>
          <w:szCs w:val="20"/>
        </w:rPr>
        <w:t>impliqué</w:t>
      </w:r>
      <w:r>
        <w:rPr>
          <w:sz w:val="20"/>
          <w:szCs w:val="20"/>
        </w:rPr>
        <w:t xml:space="preserve"> dans le secteur de la santé depuis plusieurs années, GS1 a </w:t>
      </w:r>
      <w:r w:rsidR="009772B9">
        <w:rPr>
          <w:sz w:val="20"/>
          <w:szCs w:val="20"/>
        </w:rPr>
        <w:t xml:space="preserve">choisi de mettre en avant </w:t>
      </w:r>
      <w:r w:rsidR="00E06508">
        <w:rPr>
          <w:sz w:val="20"/>
          <w:szCs w:val="20"/>
        </w:rPr>
        <w:t>des</w:t>
      </w:r>
      <w:r>
        <w:rPr>
          <w:sz w:val="20"/>
          <w:szCs w:val="20"/>
        </w:rPr>
        <w:t xml:space="preserve"> exemples à travers le monde où l’utilisation des standards a rendu les soins plus sûrs et efficace</w:t>
      </w:r>
      <w:r w:rsidR="00BA232C">
        <w:rPr>
          <w:sz w:val="20"/>
          <w:szCs w:val="20"/>
        </w:rPr>
        <w:t xml:space="preserve">s. Plusieurs </w:t>
      </w:r>
      <w:r w:rsidR="00A22BE6">
        <w:rPr>
          <w:sz w:val="20"/>
          <w:szCs w:val="20"/>
        </w:rPr>
        <w:t xml:space="preserve">de ces </w:t>
      </w:r>
      <w:r w:rsidR="00BA232C">
        <w:rPr>
          <w:sz w:val="20"/>
          <w:szCs w:val="20"/>
        </w:rPr>
        <w:t>cas mettent en évidence trois g</w:t>
      </w:r>
      <w:r w:rsidR="001607D9">
        <w:rPr>
          <w:sz w:val="20"/>
          <w:szCs w:val="20"/>
        </w:rPr>
        <w:t>rands domaines où les standards</w:t>
      </w:r>
      <w:r w:rsidR="00BA232C">
        <w:rPr>
          <w:sz w:val="20"/>
          <w:szCs w:val="20"/>
        </w:rPr>
        <w:t xml:space="preserve"> </w:t>
      </w:r>
      <w:r w:rsidR="00706677" w:rsidRPr="001607D9">
        <w:rPr>
          <w:color w:val="auto"/>
          <w:sz w:val="20"/>
          <w:szCs w:val="20"/>
        </w:rPr>
        <w:t xml:space="preserve">apportent </w:t>
      </w:r>
      <w:r w:rsidR="000A1CE6" w:rsidRPr="001607D9">
        <w:rPr>
          <w:color w:val="auto"/>
          <w:sz w:val="20"/>
          <w:szCs w:val="20"/>
        </w:rPr>
        <w:t>des bénéfices significatifs</w:t>
      </w:r>
      <w:r w:rsidR="00BA232C" w:rsidRPr="001607D9">
        <w:rPr>
          <w:color w:val="auto"/>
          <w:sz w:val="20"/>
          <w:szCs w:val="20"/>
        </w:rPr>
        <w:t> : l’administration de</w:t>
      </w:r>
      <w:r w:rsidR="000A1CE6" w:rsidRPr="001607D9">
        <w:rPr>
          <w:color w:val="auto"/>
          <w:sz w:val="20"/>
          <w:szCs w:val="20"/>
        </w:rPr>
        <w:t>s</w:t>
      </w:r>
      <w:r w:rsidR="00BA232C" w:rsidRPr="001607D9">
        <w:rPr>
          <w:color w:val="auto"/>
          <w:sz w:val="20"/>
          <w:szCs w:val="20"/>
        </w:rPr>
        <w:t xml:space="preserve"> médicaments </w:t>
      </w:r>
      <w:r w:rsidR="000A1CE6" w:rsidRPr="001607D9">
        <w:rPr>
          <w:color w:val="auto"/>
          <w:sz w:val="20"/>
          <w:szCs w:val="20"/>
        </w:rPr>
        <w:t>au</w:t>
      </w:r>
      <w:r w:rsidR="00947C1C" w:rsidRPr="001607D9">
        <w:rPr>
          <w:color w:val="auto"/>
          <w:sz w:val="20"/>
          <w:szCs w:val="20"/>
        </w:rPr>
        <w:t xml:space="preserve"> patient </w:t>
      </w:r>
      <w:r w:rsidR="00BA232C" w:rsidRPr="001607D9">
        <w:rPr>
          <w:color w:val="auto"/>
          <w:sz w:val="20"/>
          <w:szCs w:val="20"/>
        </w:rPr>
        <w:t>via</w:t>
      </w:r>
      <w:r w:rsidR="004E65B0" w:rsidRPr="001607D9">
        <w:rPr>
          <w:color w:val="auto"/>
          <w:sz w:val="20"/>
          <w:szCs w:val="20"/>
        </w:rPr>
        <w:t xml:space="preserve"> la chambre connectée</w:t>
      </w:r>
      <w:r w:rsidR="00BA232C" w:rsidRPr="001607D9">
        <w:rPr>
          <w:color w:val="auto"/>
          <w:sz w:val="20"/>
          <w:szCs w:val="20"/>
        </w:rPr>
        <w:t xml:space="preserve">, la traçabilité des médicaments et des dispositifs médicaux, la charge de travail du personnel </w:t>
      </w:r>
      <w:r w:rsidR="00947C1C" w:rsidRPr="001607D9">
        <w:rPr>
          <w:color w:val="auto"/>
          <w:sz w:val="20"/>
          <w:szCs w:val="20"/>
        </w:rPr>
        <w:t>médica</w:t>
      </w:r>
      <w:r w:rsidR="001607D9" w:rsidRPr="001607D9">
        <w:rPr>
          <w:color w:val="auto"/>
          <w:sz w:val="20"/>
          <w:szCs w:val="20"/>
        </w:rPr>
        <w:t>l.</w:t>
      </w:r>
    </w:p>
    <w:p w:rsidR="00A22BE6" w:rsidRDefault="00A22BE6" w:rsidP="002C55AF">
      <w:pPr>
        <w:pStyle w:val="Default"/>
        <w:jc w:val="both"/>
        <w:rPr>
          <w:sz w:val="20"/>
          <w:szCs w:val="20"/>
        </w:rPr>
      </w:pPr>
    </w:p>
    <w:p w:rsidR="00A22BE6" w:rsidRDefault="00A22BE6" w:rsidP="002C55AF">
      <w:pPr>
        <w:pStyle w:val="Default"/>
        <w:jc w:val="both"/>
        <w:rPr>
          <w:sz w:val="20"/>
          <w:szCs w:val="20"/>
        </w:rPr>
      </w:pPr>
    </w:p>
    <w:p w:rsidR="00A22BE6" w:rsidRPr="00A22BE6" w:rsidRDefault="00614B3C" w:rsidP="002C55AF">
      <w:pPr>
        <w:pStyle w:val="Default"/>
        <w:jc w:val="both"/>
        <w:rPr>
          <w:b/>
          <w:sz w:val="20"/>
          <w:szCs w:val="20"/>
        </w:rPr>
      </w:pPr>
      <w:r>
        <w:rPr>
          <w:b/>
          <w:sz w:val="20"/>
          <w:szCs w:val="20"/>
        </w:rPr>
        <w:t>Une meilleure traçabilité au service des patients</w:t>
      </w:r>
    </w:p>
    <w:p w:rsidR="000F2E1F" w:rsidRDefault="000F2E1F" w:rsidP="002C55AF">
      <w:pPr>
        <w:pStyle w:val="Default"/>
        <w:jc w:val="both"/>
        <w:rPr>
          <w:sz w:val="20"/>
          <w:szCs w:val="20"/>
        </w:rPr>
      </w:pPr>
    </w:p>
    <w:p w:rsidR="000F2E1F" w:rsidRDefault="00D62FAF" w:rsidP="002C55AF">
      <w:pPr>
        <w:pStyle w:val="Default"/>
        <w:jc w:val="both"/>
        <w:rPr>
          <w:sz w:val="20"/>
          <w:szCs w:val="20"/>
        </w:rPr>
      </w:pPr>
      <w:r>
        <w:rPr>
          <w:sz w:val="20"/>
          <w:szCs w:val="20"/>
        </w:rPr>
        <w:t xml:space="preserve">Aux </w:t>
      </w:r>
      <w:r w:rsidRPr="00E4211A">
        <w:rPr>
          <w:b/>
          <w:sz w:val="20"/>
          <w:szCs w:val="20"/>
        </w:rPr>
        <w:t>Pays-B</w:t>
      </w:r>
      <w:r w:rsidR="009772B9" w:rsidRPr="00E4211A">
        <w:rPr>
          <w:b/>
          <w:sz w:val="20"/>
          <w:szCs w:val="20"/>
        </w:rPr>
        <w:t>as</w:t>
      </w:r>
      <w:r w:rsidRPr="00E4211A">
        <w:rPr>
          <w:b/>
          <w:sz w:val="20"/>
          <w:szCs w:val="20"/>
        </w:rPr>
        <w:t>,</w:t>
      </w:r>
      <w:r w:rsidR="009772B9" w:rsidRPr="00E4211A">
        <w:rPr>
          <w:b/>
          <w:sz w:val="20"/>
          <w:szCs w:val="20"/>
        </w:rPr>
        <w:t xml:space="preserve"> </w:t>
      </w:r>
      <w:r w:rsidRPr="00E4211A">
        <w:rPr>
          <w:b/>
          <w:sz w:val="20"/>
          <w:szCs w:val="20"/>
        </w:rPr>
        <w:t>le réseau des hôpitaux Antonius</w:t>
      </w:r>
      <w:r w:rsidR="009772B9">
        <w:rPr>
          <w:sz w:val="20"/>
          <w:szCs w:val="20"/>
        </w:rPr>
        <w:t xml:space="preserve"> </w:t>
      </w:r>
      <w:r>
        <w:rPr>
          <w:sz w:val="20"/>
          <w:szCs w:val="20"/>
        </w:rPr>
        <w:t xml:space="preserve">utilise les codes à barres pour </w:t>
      </w:r>
      <w:r w:rsidR="000A1CE6">
        <w:rPr>
          <w:sz w:val="20"/>
          <w:szCs w:val="20"/>
        </w:rPr>
        <w:t xml:space="preserve">identifier </w:t>
      </w:r>
      <w:r w:rsidR="008870FE">
        <w:rPr>
          <w:sz w:val="20"/>
          <w:szCs w:val="20"/>
        </w:rPr>
        <w:t xml:space="preserve">et marquer </w:t>
      </w:r>
      <w:r w:rsidR="000A1CE6">
        <w:rPr>
          <w:sz w:val="20"/>
          <w:szCs w:val="20"/>
        </w:rPr>
        <w:t xml:space="preserve">de manière unitaire chaque </w:t>
      </w:r>
      <w:r w:rsidR="008870FE">
        <w:rPr>
          <w:sz w:val="20"/>
          <w:szCs w:val="20"/>
        </w:rPr>
        <w:t xml:space="preserve">boite de </w:t>
      </w:r>
      <w:r w:rsidR="000A1CE6">
        <w:rPr>
          <w:sz w:val="20"/>
          <w:szCs w:val="20"/>
        </w:rPr>
        <w:t xml:space="preserve">médicament.  </w:t>
      </w:r>
      <w:r w:rsidR="008870FE">
        <w:rPr>
          <w:sz w:val="20"/>
          <w:szCs w:val="20"/>
        </w:rPr>
        <w:t>Ainsi, chaque médicament qui sort de la pharmacie de l’hôpital est scanné avant d’arriver en chambre. Au moment de sa dispensation, l</w:t>
      </w:r>
      <w:r>
        <w:rPr>
          <w:sz w:val="20"/>
          <w:szCs w:val="20"/>
        </w:rPr>
        <w:t>e personnel</w:t>
      </w:r>
      <w:r w:rsidR="008870FE">
        <w:rPr>
          <w:sz w:val="20"/>
          <w:szCs w:val="20"/>
        </w:rPr>
        <w:t xml:space="preserve"> médical  </w:t>
      </w:r>
      <w:r>
        <w:rPr>
          <w:sz w:val="20"/>
          <w:szCs w:val="20"/>
        </w:rPr>
        <w:t xml:space="preserve">scanne </w:t>
      </w:r>
      <w:r w:rsidR="00E717D1">
        <w:rPr>
          <w:sz w:val="20"/>
          <w:szCs w:val="20"/>
        </w:rPr>
        <w:t>le code à barres sur l</w:t>
      </w:r>
      <w:r>
        <w:rPr>
          <w:sz w:val="20"/>
          <w:szCs w:val="20"/>
        </w:rPr>
        <w:t>e bracelet du patient</w:t>
      </w:r>
      <w:r w:rsidR="008870FE">
        <w:rPr>
          <w:sz w:val="20"/>
          <w:szCs w:val="20"/>
        </w:rPr>
        <w:t xml:space="preserve"> et vérifie </w:t>
      </w:r>
      <w:r w:rsidR="00591FD8">
        <w:rPr>
          <w:sz w:val="20"/>
          <w:szCs w:val="20"/>
        </w:rPr>
        <w:t xml:space="preserve"> </w:t>
      </w:r>
      <w:r w:rsidR="008870FE">
        <w:rPr>
          <w:sz w:val="20"/>
          <w:szCs w:val="20"/>
        </w:rPr>
        <w:t xml:space="preserve">sur son ordinateur </w:t>
      </w:r>
      <w:r w:rsidR="00E717D1">
        <w:rPr>
          <w:sz w:val="20"/>
          <w:szCs w:val="20"/>
        </w:rPr>
        <w:t>que le bon médicament est administré au bon moment et au bon patient.</w:t>
      </w:r>
      <w:r w:rsidR="00591FD8">
        <w:rPr>
          <w:sz w:val="20"/>
          <w:szCs w:val="20"/>
        </w:rPr>
        <w:t xml:space="preserve"> </w:t>
      </w:r>
      <w:r w:rsidR="008870FE">
        <w:rPr>
          <w:sz w:val="20"/>
          <w:szCs w:val="20"/>
        </w:rPr>
        <w:t>Dans le même temps</w:t>
      </w:r>
      <w:r w:rsidR="00614B3C">
        <w:rPr>
          <w:sz w:val="20"/>
          <w:szCs w:val="20"/>
        </w:rPr>
        <w:t>, le numéro de lot du</w:t>
      </w:r>
      <w:r w:rsidR="008870FE">
        <w:rPr>
          <w:sz w:val="20"/>
          <w:szCs w:val="20"/>
        </w:rPr>
        <w:t xml:space="preserve"> médicament et s</w:t>
      </w:r>
      <w:r w:rsidR="007A4D99">
        <w:rPr>
          <w:sz w:val="20"/>
          <w:szCs w:val="20"/>
        </w:rPr>
        <w:t xml:space="preserve">a date d’expiration sont </w:t>
      </w:r>
      <w:r w:rsidR="00614B3C">
        <w:rPr>
          <w:sz w:val="20"/>
          <w:szCs w:val="20"/>
        </w:rPr>
        <w:t xml:space="preserve">également </w:t>
      </w:r>
      <w:r w:rsidR="007A4D99">
        <w:rPr>
          <w:sz w:val="20"/>
          <w:szCs w:val="20"/>
        </w:rPr>
        <w:t>enregistrés</w:t>
      </w:r>
      <w:r w:rsidR="008870FE">
        <w:rPr>
          <w:sz w:val="20"/>
          <w:szCs w:val="20"/>
        </w:rPr>
        <w:t xml:space="preserve"> dans le système d’information de l’hôpital. En mettant en place ces procédures, le réseau des hôpitaux Antonius</w:t>
      </w:r>
      <w:r w:rsidR="007A4D99">
        <w:rPr>
          <w:sz w:val="20"/>
          <w:szCs w:val="20"/>
        </w:rPr>
        <w:t xml:space="preserve"> a rendu plus sûr</w:t>
      </w:r>
      <w:r w:rsidR="008870FE">
        <w:rPr>
          <w:sz w:val="20"/>
          <w:szCs w:val="20"/>
        </w:rPr>
        <w:t>e</w:t>
      </w:r>
      <w:r w:rsidR="007A4D99">
        <w:rPr>
          <w:sz w:val="20"/>
          <w:szCs w:val="20"/>
        </w:rPr>
        <w:t xml:space="preserve"> l’</w:t>
      </w:r>
      <w:r w:rsidR="001E78A1">
        <w:rPr>
          <w:sz w:val="20"/>
          <w:szCs w:val="20"/>
        </w:rPr>
        <w:t xml:space="preserve">administration des médicaments et </w:t>
      </w:r>
      <w:r w:rsidR="00591FD8">
        <w:rPr>
          <w:sz w:val="20"/>
          <w:szCs w:val="20"/>
        </w:rPr>
        <w:t>ainsi renforcé</w:t>
      </w:r>
      <w:r w:rsidR="001E78A1">
        <w:rPr>
          <w:sz w:val="20"/>
          <w:szCs w:val="20"/>
        </w:rPr>
        <w:t xml:space="preserve"> la sécurité des patients. </w:t>
      </w:r>
      <w:r w:rsidR="008870FE">
        <w:rPr>
          <w:sz w:val="20"/>
          <w:szCs w:val="20"/>
        </w:rPr>
        <w:t xml:space="preserve">On </w:t>
      </w:r>
      <w:r w:rsidR="001E78A1">
        <w:rPr>
          <w:sz w:val="20"/>
          <w:szCs w:val="20"/>
        </w:rPr>
        <w:t>estime</w:t>
      </w:r>
      <w:r w:rsidR="008870FE">
        <w:rPr>
          <w:sz w:val="20"/>
          <w:szCs w:val="20"/>
        </w:rPr>
        <w:t xml:space="preserve"> par ailleurs</w:t>
      </w:r>
      <w:r w:rsidR="001E78A1">
        <w:rPr>
          <w:sz w:val="20"/>
          <w:szCs w:val="20"/>
        </w:rPr>
        <w:t xml:space="preserve"> </w:t>
      </w:r>
      <w:r w:rsidR="008870FE">
        <w:rPr>
          <w:sz w:val="20"/>
          <w:szCs w:val="20"/>
        </w:rPr>
        <w:t xml:space="preserve">que </w:t>
      </w:r>
      <w:r w:rsidR="001607D9">
        <w:rPr>
          <w:sz w:val="20"/>
          <w:szCs w:val="20"/>
        </w:rPr>
        <w:t xml:space="preserve">le </w:t>
      </w:r>
      <w:r w:rsidR="001E78A1">
        <w:rPr>
          <w:sz w:val="20"/>
          <w:szCs w:val="20"/>
        </w:rPr>
        <w:t>taux d’erreurs lors de l’administration du médicament</w:t>
      </w:r>
      <w:r w:rsidR="008870FE">
        <w:rPr>
          <w:sz w:val="20"/>
          <w:szCs w:val="20"/>
        </w:rPr>
        <w:t xml:space="preserve"> peut être</w:t>
      </w:r>
      <w:r w:rsidR="001607D9">
        <w:rPr>
          <w:sz w:val="20"/>
          <w:szCs w:val="20"/>
        </w:rPr>
        <w:t xml:space="preserve"> diminué de moitié </w:t>
      </w:r>
      <w:r w:rsidR="001E78A1">
        <w:rPr>
          <w:sz w:val="20"/>
          <w:szCs w:val="20"/>
        </w:rPr>
        <w:t>gr</w:t>
      </w:r>
      <w:r w:rsidR="00882539">
        <w:rPr>
          <w:sz w:val="20"/>
          <w:szCs w:val="20"/>
        </w:rPr>
        <w:t xml:space="preserve">âce à la vérification </w:t>
      </w:r>
      <w:r w:rsidR="00335FD0">
        <w:rPr>
          <w:sz w:val="20"/>
          <w:szCs w:val="20"/>
        </w:rPr>
        <w:t>au préalable par scanne du</w:t>
      </w:r>
      <w:r w:rsidR="00882539">
        <w:rPr>
          <w:sz w:val="20"/>
          <w:szCs w:val="20"/>
        </w:rPr>
        <w:t xml:space="preserve"> code à barres.</w:t>
      </w:r>
    </w:p>
    <w:p w:rsidR="000F2E1F" w:rsidRDefault="000F2E1F" w:rsidP="002C55AF">
      <w:pPr>
        <w:pStyle w:val="Default"/>
        <w:jc w:val="both"/>
        <w:rPr>
          <w:sz w:val="20"/>
          <w:szCs w:val="20"/>
        </w:rPr>
      </w:pPr>
    </w:p>
    <w:p w:rsidR="00254EEB" w:rsidRDefault="00254EEB" w:rsidP="002C55AF">
      <w:pPr>
        <w:pStyle w:val="Default"/>
        <w:jc w:val="both"/>
        <w:rPr>
          <w:sz w:val="20"/>
          <w:szCs w:val="20"/>
        </w:rPr>
      </w:pPr>
      <w:r>
        <w:rPr>
          <w:sz w:val="20"/>
          <w:szCs w:val="20"/>
        </w:rPr>
        <w:t>« </w:t>
      </w:r>
      <w:r w:rsidRPr="00614B3C">
        <w:rPr>
          <w:i/>
          <w:sz w:val="20"/>
          <w:szCs w:val="20"/>
        </w:rPr>
        <w:t xml:space="preserve">Pour garantir la sécurité des patients, les pharmaciens hospitaliers ont besoin que tous les médicaments soient clairement identifiés à l’aide d’un code à barres. En </w:t>
      </w:r>
      <w:r w:rsidR="00591FD8" w:rsidRPr="00614B3C">
        <w:rPr>
          <w:i/>
          <w:sz w:val="20"/>
          <w:szCs w:val="20"/>
        </w:rPr>
        <w:t xml:space="preserve">le </w:t>
      </w:r>
      <w:r w:rsidRPr="00614B3C">
        <w:rPr>
          <w:i/>
          <w:sz w:val="20"/>
          <w:szCs w:val="20"/>
        </w:rPr>
        <w:t>scannant</w:t>
      </w:r>
      <w:r w:rsidR="00591FD8" w:rsidRPr="00614B3C">
        <w:rPr>
          <w:i/>
          <w:sz w:val="20"/>
          <w:szCs w:val="20"/>
        </w:rPr>
        <w:t>,</w:t>
      </w:r>
      <w:r w:rsidRPr="00614B3C">
        <w:rPr>
          <w:i/>
          <w:sz w:val="20"/>
          <w:szCs w:val="20"/>
        </w:rPr>
        <w:t xml:space="preserve"> nous pouvons être sûrs que le bon médicament est administré au bon patient au bon moment</w:t>
      </w:r>
      <w:r>
        <w:rPr>
          <w:sz w:val="20"/>
          <w:szCs w:val="20"/>
        </w:rPr>
        <w:t xml:space="preserve">, » affirme </w:t>
      </w:r>
      <w:r w:rsidRPr="00614B3C">
        <w:rPr>
          <w:b/>
          <w:sz w:val="20"/>
          <w:szCs w:val="20"/>
        </w:rPr>
        <w:t xml:space="preserve">Thomas De </w:t>
      </w:r>
      <w:proofErr w:type="spellStart"/>
      <w:r w:rsidRPr="00614B3C">
        <w:rPr>
          <w:b/>
          <w:sz w:val="20"/>
          <w:szCs w:val="20"/>
        </w:rPr>
        <w:t>Rijdt</w:t>
      </w:r>
      <w:proofErr w:type="spellEnd"/>
      <w:r>
        <w:rPr>
          <w:sz w:val="20"/>
          <w:szCs w:val="20"/>
        </w:rPr>
        <w:t xml:space="preserve"> de </w:t>
      </w:r>
      <w:r w:rsidRPr="00E4211A">
        <w:rPr>
          <w:b/>
          <w:sz w:val="20"/>
          <w:szCs w:val="20"/>
        </w:rPr>
        <w:t>l’hôpital académique de Leuven en Belgique</w:t>
      </w:r>
      <w:r>
        <w:rPr>
          <w:sz w:val="20"/>
          <w:szCs w:val="20"/>
        </w:rPr>
        <w:t>. « </w:t>
      </w:r>
      <w:r w:rsidRPr="00614B3C">
        <w:rPr>
          <w:i/>
          <w:sz w:val="20"/>
          <w:szCs w:val="20"/>
        </w:rPr>
        <w:t>Nous avons implémentés les codes à barres pour la chambre connectée afin d’améliorer la sécurité du patient. La chambre connectée nous a apporté les codes à barres, les codes à barres nous ont offert des opportunités pour améliorer la lo</w:t>
      </w:r>
      <w:r w:rsidR="008870FE">
        <w:rPr>
          <w:i/>
          <w:sz w:val="20"/>
          <w:szCs w:val="20"/>
        </w:rPr>
        <w:t>gistique afin qu’elle profite d</w:t>
      </w:r>
      <w:r w:rsidRPr="00614B3C">
        <w:rPr>
          <w:i/>
          <w:sz w:val="20"/>
          <w:szCs w:val="20"/>
        </w:rPr>
        <w:t>avantage à l’hôpital et à nos patients.</w:t>
      </w:r>
      <w:r>
        <w:rPr>
          <w:sz w:val="20"/>
          <w:szCs w:val="20"/>
        </w:rPr>
        <w:t> »</w:t>
      </w:r>
    </w:p>
    <w:p w:rsidR="008D0904" w:rsidRDefault="008D0904" w:rsidP="002C55AF">
      <w:pPr>
        <w:pStyle w:val="Default"/>
        <w:jc w:val="both"/>
        <w:rPr>
          <w:sz w:val="20"/>
          <w:szCs w:val="20"/>
        </w:rPr>
      </w:pPr>
    </w:p>
    <w:p w:rsidR="00254EEB" w:rsidRDefault="00254EEB" w:rsidP="002C55AF">
      <w:pPr>
        <w:pStyle w:val="Default"/>
        <w:jc w:val="both"/>
        <w:rPr>
          <w:sz w:val="20"/>
          <w:szCs w:val="20"/>
        </w:rPr>
      </w:pPr>
    </w:p>
    <w:p w:rsidR="00614B3C" w:rsidRDefault="00614B3C" w:rsidP="002C55AF">
      <w:pPr>
        <w:pStyle w:val="Default"/>
        <w:jc w:val="both"/>
        <w:rPr>
          <w:sz w:val="20"/>
          <w:szCs w:val="20"/>
        </w:rPr>
      </w:pPr>
    </w:p>
    <w:p w:rsidR="00217905" w:rsidRPr="00217905" w:rsidRDefault="00614B3C" w:rsidP="002C55AF">
      <w:pPr>
        <w:pStyle w:val="Default"/>
        <w:jc w:val="both"/>
        <w:rPr>
          <w:b/>
          <w:sz w:val="20"/>
          <w:szCs w:val="20"/>
        </w:rPr>
      </w:pPr>
      <w:r>
        <w:rPr>
          <w:b/>
          <w:sz w:val="20"/>
          <w:szCs w:val="20"/>
        </w:rPr>
        <w:lastRenderedPageBreak/>
        <w:t>Un gain  de temps et moins d’erreurs pour les opérations logistiques dans les hôpitaux</w:t>
      </w:r>
    </w:p>
    <w:p w:rsidR="00217905" w:rsidRDefault="00217905" w:rsidP="002C55AF">
      <w:pPr>
        <w:pStyle w:val="Default"/>
        <w:jc w:val="both"/>
        <w:rPr>
          <w:sz w:val="20"/>
          <w:szCs w:val="20"/>
        </w:rPr>
      </w:pPr>
    </w:p>
    <w:p w:rsidR="001607D9" w:rsidRDefault="00217905" w:rsidP="002C55AF">
      <w:pPr>
        <w:pStyle w:val="Default"/>
        <w:jc w:val="both"/>
        <w:rPr>
          <w:sz w:val="20"/>
          <w:szCs w:val="20"/>
        </w:rPr>
      </w:pPr>
      <w:r>
        <w:rPr>
          <w:sz w:val="20"/>
          <w:szCs w:val="20"/>
        </w:rPr>
        <w:t>L</w:t>
      </w:r>
      <w:r w:rsidR="00254EEB">
        <w:rPr>
          <w:sz w:val="20"/>
          <w:szCs w:val="20"/>
        </w:rPr>
        <w:t>’</w:t>
      </w:r>
      <w:r w:rsidR="00897F56">
        <w:rPr>
          <w:sz w:val="20"/>
          <w:szCs w:val="20"/>
        </w:rPr>
        <w:t xml:space="preserve">utilisation des standards GS1 permet d’aller </w:t>
      </w:r>
      <w:r w:rsidR="00B541F3">
        <w:rPr>
          <w:sz w:val="20"/>
          <w:szCs w:val="20"/>
        </w:rPr>
        <w:t>au-delà</w:t>
      </w:r>
      <w:r w:rsidR="00897F56">
        <w:rPr>
          <w:sz w:val="20"/>
          <w:szCs w:val="20"/>
        </w:rPr>
        <w:t xml:space="preserve"> de </w:t>
      </w:r>
      <w:r>
        <w:rPr>
          <w:sz w:val="20"/>
          <w:szCs w:val="20"/>
        </w:rPr>
        <w:t xml:space="preserve">la simple </w:t>
      </w:r>
      <w:r w:rsidR="00254EEB">
        <w:rPr>
          <w:sz w:val="20"/>
          <w:szCs w:val="20"/>
        </w:rPr>
        <w:t>identification des médicaments.</w:t>
      </w:r>
      <w:r w:rsidR="00B541F3">
        <w:rPr>
          <w:sz w:val="20"/>
          <w:szCs w:val="20"/>
        </w:rPr>
        <w:t xml:space="preserve"> Plusieurs hôpitaux à travers le monde utilisent les standards GS1 pour améliorer leur chaîne logistique et ainsi assurer une meilleure sécurité pour le patient.</w:t>
      </w:r>
    </w:p>
    <w:p w:rsidR="001607D9" w:rsidRDefault="001607D9" w:rsidP="002C55AF">
      <w:pPr>
        <w:pStyle w:val="Default"/>
        <w:jc w:val="both"/>
        <w:rPr>
          <w:sz w:val="20"/>
          <w:szCs w:val="20"/>
        </w:rPr>
      </w:pPr>
    </w:p>
    <w:p w:rsidR="001607D9" w:rsidRDefault="00B541F3" w:rsidP="00B541F3">
      <w:pPr>
        <w:pStyle w:val="Default"/>
        <w:numPr>
          <w:ilvl w:val="0"/>
          <w:numId w:val="6"/>
        </w:numPr>
        <w:jc w:val="both"/>
        <w:rPr>
          <w:rFonts w:cs="Calibri"/>
          <w:sz w:val="20"/>
          <w:szCs w:val="20"/>
        </w:rPr>
      </w:pPr>
      <w:r>
        <w:rPr>
          <w:rFonts w:cs="Calibri"/>
          <w:sz w:val="20"/>
          <w:szCs w:val="20"/>
        </w:rPr>
        <w:t xml:space="preserve">En France, </w:t>
      </w:r>
      <w:r w:rsidRPr="00EE0824">
        <w:rPr>
          <w:rFonts w:cs="Calibri"/>
          <w:b/>
          <w:sz w:val="20"/>
          <w:szCs w:val="20"/>
        </w:rPr>
        <w:t>l</w:t>
      </w:r>
      <w:r w:rsidR="001607D9" w:rsidRPr="00EE0824">
        <w:rPr>
          <w:rFonts w:cs="Calibri"/>
          <w:b/>
          <w:sz w:val="20"/>
          <w:szCs w:val="20"/>
        </w:rPr>
        <w:t xml:space="preserve">’hôpital Robert </w:t>
      </w:r>
      <w:proofErr w:type="spellStart"/>
      <w:r w:rsidR="001607D9" w:rsidRPr="00EE0824">
        <w:rPr>
          <w:rFonts w:cs="Calibri"/>
          <w:b/>
          <w:sz w:val="20"/>
          <w:szCs w:val="20"/>
        </w:rPr>
        <w:t>Ballanger</w:t>
      </w:r>
      <w:proofErr w:type="spellEnd"/>
      <w:r w:rsidR="001607D9" w:rsidRPr="00EE0824">
        <w:rPr>
          <w:rFonts w:cs="Calibri"/>
          <w:b/>
          <w:sz w:val="20"/>
          <w:szCs w:val="20"/>
        </w:rPr>
        <w:t xml:space="preserve"> d’Aulnay-Sous-Bois</w:t>
      </w:r>
      <w:r w:rsidR="001607D9" w:rsidRPr="001607D9">
        <w:rPr>
          <w:rFonts w:cs="Calibri"/>
          <w:sz w:val="20"/>
          <w:szCs w:val="20"/>
        </w:rPr>
        <w:t xml:space="preserve"> et l’</w:t>
      </w:r>
      <w:r w:rsidR="001607D9" w:rsidRPr="00EE0824">
        <w:rPr>
          <w:rFonts w:cs="Calibri"/>
          <w:b/>
          <w:sz w:val="20"/>
          <w:szCs w:val="20"/>
        </w:rPr>
        <w:t>HEGP</w:t>
      </w:r>
      <w:r w:rsidR="001607D9" w:rsidRPr="001607D9">
        <w:rPr>
          <w:rFonts w:cs="Calibri"/>
          <w:sz w:val="20"/>
          <w:szCs w:val="20"/>
        </w:rPr>
        <w:t xml:space="preserve"> (Hôpital Européen Georges Pompidou - Paris 15) ont choisi de marquer leurs instruments de chirurgie en suivant la norme AFNOR qui recommande les standards GS1 pour l’identification unique et non ambigüe de l’instrument et un numéro de série (GTIN sérialisé). La traçabilité de tous les appareils chirurgicaux intervient notamment durant le processus de stérilisation (124 000 instruments stérilisés en 2016) où un </w:t>
      </w:r>
      <w:proofErr w:type="spellStart"/>
      <w:r w:rsidR="001607D9" w:rsidRPr="001607D9">
        <w:rPr>
          <w:rFonts w:cs="Calibri"/>
          <w:sz w:val="20"/>
          <w:szCs w:val="20"/>
        </w:rPr>
        <w:t>DataMatrix</w:t>
      </w:r>
      <w:proofErr w:type="spellEnd"/>
      <w:r w:rsidR="001607D9" w:rsidRPr="001607D9">
        <w:rPr>
          <w:rFonts w:cs="Calibri"/>
          <w:sz w:val="20"/>
          <w:szCs w:val="20"/>
        </w:rPr>
        <w:t xml:space="preserve"> est gravé sur chaque instrument, emballé ensuite dans des boîtes en vue d’utilisation par les médecins. Cette utilisation a permis non seulement de gagner en efficacité mais également de suivre le contenu des boites et de répondre aux contraintes de traçabilité unitaire des instruments de chirurgie.</w:t>
      </w:r>
      <w:r w:rsidR="001607D9">
        <w:rPr>
          <w:rFonts w:cs="Calibri"/>
          <w:sz w:val="20"/>
          <w:szCs w:val="20"/>
        </w:rPr>
        <w:t xml:space="preserve"> Les investissements consentis pour mettre en place tous ces nouveaux processus ont été rentabilisés a</w:t>
      </w:r>
      <w:r w:rsidR="00EE0824">
        <w:rPr>
          <w:rFonts w:cs="Calibri"/>
          <w:sz w:val="20"/>
          <w:szCs w:val="20"/>
        </w:rPr>
        <w:t xml:space="preserve">u bout de seulement 24 semaines dans le cas de l’hôpital Robert </w:t>
      </w:r>
      <w:proofErr w:type="spellStart"/>
      <w:r w:rsidR="00EE0824">
        <w:rPr>
          <w:rFonts w:cs="Calibri"/>
          <w:sz w:val="20"/>
          <w:szCs w:val="20"/>
        </w:rPr>
        <w:t>Ballanger</w:t>
      </w:r>
      <w:proofErr w:type="spellEnd"/>
      <w:r w:rsidR="00EE0824">
        <w:rPr>
          <w:rFonts w:cs="Calibri"/>
          <w:sz w:val="20"/>
          <w:szCs w:val="20"/>
        </w:rPr>
        <w:t>.</w:t>
      </w:r>
    </w:p>
    <w:p w:rsidR="007F1BEC" w:rsidRDefault="007F1BEC" w:rsidP="007F1BEC">
      <w:pPr>
        <w:pStyle w:val="Default"/>
        <w:ind w:left="720"/>
        <w:jc w:val="both"/>
        <w:rPr>
          <w:rFonts w:cs="Calibri"/>
          <w:sz w:val="20"/>
          <w:szCs w:val="20"/>
        </w:rPr>
      </w:pPr>
    </w:p>
    <w:p w:rsidR="001607D9" w:rsidRDefault="00B541F3" w:rsidP="002C55AF">
      <w:pPr>
        <w:pStyle w:val="Default"/>
        <w:jc w:val="both"/>
        <w:rPr>
          <w:sz w:val="20"/>
          <w:szCs w:val="20"/>
        </w:rPr>
      </w:pPr>
      <w:r>
        <w:rPr>
          <w:sz w:val="20"/>
          <w:szCs w:val="20"/>
        </w:rPr>
        <w:t xml:space="preserve">D’autres établissements de santé français ont </w:t>
      </w:r>
      <w:r w:rsidR="007F1BEC">
        <w:rPr>
          <w:sz w:val="20"/>
          <w:szCs w:val="20"/>
        </w:rPr>
        <w:t xml:space="preserve">également </w:t>
      </w:r>
      <w:r w:rsidR="00EE0824">
        <w:rPr>
          <w:sz w:val="20"/>
          <w:szCs w:val="20"/>
        </w:rPr>
        <w:t xml:space="preserve">eu </w:t>
      </w:r>
      <w:r>
        <w:rPr>
          <w:sz w:val="20"/>
          <w:szCs w:val="20"/>
        </w:rPr>
        <w:t>recours aux standards GS1.</w:t>
      </w:r>
    </w:p>
    <w:p w:rsidR="00B541F3" w:rsidRDefault="00B541F3" w:rsidP="002C55AF">
      <w:pPr>
        <w:pStyle w:val="Default"/>
        <w:jc w:val="both"/>
        <w:rPr>
          <w:sz w:val="20"/>
          <w:szCs w:val="20"/>
        </w:rPr>
      </w:pPr>
    </w:p>
    <w:p w:rsidR="00B541F3" w:rsidRDefault="00B541F3" w:rsidP="00B541F3">
      <w:pPr>
        <w:pStyle w:val="Default"/>
        <w:numPr>
          <w:ilvl w:val="0"/>
          <w:numId w:val="7"/>
        </w:numPr>
        <w:jc w:val="both"/>
        <w:rPr>
          <w:sz w:val="20"/>
          <w:szCs w:val="20"/>
        </w:rPr>
      </w:pPr>
      <w:r>
        <w:rPr>
          <w:rFonts w:cs="Calibri"/>
          <w:sz w:val="20"/>
          <w:szCs w:val="20"/>
        </w:rPr>
        <w:t xml:space="preserve">La </w:t>
      </w:r>
      <w:r w:rsidRPr="00EE0824">
        <w:rPr>
          <w:rFonts w:cs="Calibri"/>
          <w:b/>
          <w:sz w:val="20"/>
          <w:szCs w:val="20"/>
        </w:rPr>
        <w:t>plateforme logistique du CHU de Strasbourg</w:t>
      </w:r>
      <w:r>
        <w:rPr>
          <w:rFonts w:cs="Calibri"/>
          <w:sz w:val="20"/>
          <w:szCs w:val="20"/>
        </w:rPr>
        <w:t xml:space="preserve"> utilise le standard</w:t>
      </w:r>
      <w:r w:rsidRPr="001623FA">
        <w:rPr>
          <w:sz w:val="20"/>
          <w:szCs w:val="20"/>
        </w:rPr>
        <w:t xml:space="preserve"> SSCC</w:t>
      </w:r>
      <w:r>
        <w:rPr>
          <w:sz w:val="20"/>
          <w:szCs w:val="20"/>
        </w:rPr>
        <w:t xml:space="preserve"> (Serial Shipping Container Code : numéro qui identifie de manière unique une unité d’expédition)</w:t>
      </w:r>
      <w:r w:rsidRPr="001623FA">
        <w:rPr>
          <w:sz w:val="20"/>
          <w:szCs w:val="20"/>
        </w:rPr>
        <w:t xml:space="preserve">. Celui-ci est apposé sur les </w:t>
      </w:r>
      <w:r>
        <w:rPr>
          <w:sz w:val="20"/>
          <w:szCs w:val="20"/>
        </w:rPr>
        <w:t>unités de livraisons reçues</w:t>
      </w:r>
      <w:r w:rsidRPr="001623FA">
        <w:rPr>
          <w:sz w:val="20"/>
          <w:szCs w:val="20"/>
        </w:rPr>
        <w:t xml:space="preserve"> pour être ensuite associé à un contenant de rangement et une adresse de stockage définie par le système de gestion d’entrepôt. En préparation, l’agent enregistre les différents éléments et valide l’opér</w:t>
      </w:r>
      <w:r>
        <w:rPr>
          <w:sz w:val="20"/>
          <w:szCs w:val="20"/>
        </w:rPr>
        <w:t>ation en scannant le code SSCC</w:t>
      </w:r>
      <w:r w:rsidRPr="001623FA">
        <w:rPr>
          <w:sz w:val="20"/>
          <w:szCs w:val="20"/>
        </w:rPr>
        <w:t xml:space="preserve"> du colis. Le système distribue automatiquement les colis vers des armoires de livraisons identifiées avec un code à barres et une puce RFID ; armoires qui sont ensuite acheminées vers les quais de chargem</w:t>
      </w:r>
      <w:r>
        <w:rPr>
          <w:sz w:val="20"/>
          <w:szCs w:val="20"/>
        </w:rPr>
        <w:t>ent. Cette puce RFID est</w:t>
      </w:r>
      <w:r w:rsidRPr="001623FA">
        <w:rPr>
          <w:sz w:val="20"/>
          <w:szCs w:val="20"/>
        </w:rPr>
        <w:t xml:space="preserve"> lue à l’entrée dans le camion équipé d’un portique, son contenu est associé au camion également identifié. Le camion se voit alors affecté à un circuit quand la première armoire chargée est détectée</w:t>
      </w:r>
      <w:r>
        <w:rPr>
          <w:sz w:val="20"/>
          <w:szCs w:val="20"/>
        </w:rPr>
        <w:t xml:space="preserve">. </w:t>
      </w:r>
      <w:r w:rsidRPr="001623FA">
        <w:rPr>
          <w:sz w:val="20"/>
          <w:szCs w:val="20"/>
        </w:rPr>
        <w:t>Cette utilisation de la RFID permet de fiabiliser un peu plus la livraison et devrait être étendue pour l’ensemble des sites du CHU.</w:t>
      </w:r>
    </w:p>
    <w:p w:rsidR="00B541F3" w:rsidRDefault="00B541F3" w:rsidP="00B541F3">
      <w:pPr>
        <w:pStyle w:val="Default"/>
        <w:jc w:val="both"/>
        <w:rPr>
          <w:sz w:val="20"/>
          <w:szCs w:val="20"/>
        </w:rPr>
      </w:pPr>
    </w:p>
    <w:p w:rsidR="00B541F3" w:rsidRDefault="00B541F3" w:rsidP="00B541F3">
      <w:pPr>
        <w:pStyle w:val="Default"/>
        <w:numPr>
          <w:ilvl w:val="0"/>
          <w:numId w:val="7"/>
        </w:numPr>
        <w:jc w:val="both"/>
        <w:rPr>
          <w:rFonts w:cs="Calibri"/>
          <w:sz w:val="20"/>
          <w:szCs w:val="20"/>
        </w:rPr>
      </w:pPr>
      <w:r w:rsidRPr="001623FA">
        <w:rPr>
          <w:sz w:val="20"/>
          <w:szCs w:val="20"/>
        </w:rPr>
        <w:t xml:space="preserve">Les </w:t>
      </w:r>
      <w:r w:rsidRPr="00EE0824">
        <w:rPr>
          <w:b/>
          <w:sz w:val="20"/>
          <w:szCs w:val="20"/>
        </w:rPr>
        <w:t>CHU de Dijon et Toulouse</w:t>
      </w:r>
      <w:r w:rsidRPr="001623FA">
        <w:rPr>
          <w:sz w:val="20"/>
          <w:szCs w:val="20"/>
        </w:rPr>
        <w:t xml:space="preserve"> tracent</w:t>
      </w:r>
      <w:r>
        <w:rPr>
          <w:sz w:val="20"/>
          <w:szCs w:val="20"/>
        </w:rPr>
        <w:t xml:space="preserve"> également</w:t>
      </w:r>
      <w:r w:rsidRPr="001623FA">
        <w:rPr>
          <w:sz w:val="20"/>
          <w:szCs w:val="20"/>
        </w:rPr>
        <w:t xml:space="preserve"> l’ensemble de leurs livraisons grâce aux standards GS1. Cela afin de mieux</w:t>
      </w:r>
      <w:r w:rsidRPr="001623FA">
        <w:rPr>
          <w:rFonts w:cs="Calibri"/>
          <w:sz w:val="20"/>
          <w:szCs w:val="20"/>
        </w:rPr>
        <w:t xml:space="preserve"> informer les services sur l’état des leurs livraison</w:t>
      </w:r>
      <w:r>
        <w:rPr>
          <w:rFonts w:cs="Calibri"/>
          <w:sz w:val="20"/>
          <w:szCs w:val="20"/>
        </w:rPr>
        <w:t>s, le respect des délais, et ce</w:t>
      </w:r>
      <w:r w:rsidRPr="001623FA">
        <w:rPr>
          <w:rFonts w:cs="Calibri"/>
          <w:sz w:val="20"/>
          <w:szCs w:val="20"/>
        </w:rPr>
        <w:t xml:space="preserve"> par la mise en place notamment d’indicateur de suivi et de qualité.</w:t>
      </w:r>
    </w:p>
    <w:p w:rsidR="00E4211A" w:rsidRDefault="00E4211A" w:rsidP="00E4211A">
      <w:pPr>
        <w:pStyle w:val="Paragraphedeliste"/>
        <w:rPr>
          <w:rFonts w:cs="Calibri"/>
          <w:sz w:val="20"/>
          <w:szCs w:val="20"/>
        </w:rPr>
      </w:pPr>
    </w:p>
    <w:p w:rsidR="00E4211A" w:rsidRDefault="00E4211A" w:rsidP="00E4211A">
      <w:pPr>
        <w:pStyle w:val="Default"/>
        <w:jc w:val="both"/>
        <w:rPr>
          <w:rFonts w:cs="Calibri"/>
          <w:sz w:val="20"/>
          <w:szCs w:val="20"/>
        </w:rPr>
      </w:pPr>
      <w:r>
        <w:rPr>
          <w:rFonts w:cs="Calibri"/>
          <w:sz w:val="20"/>
          <w:szCs w:val="20"/>
        </w:rPr>
        <w:t>A l’international :</w:t>
      </w:r>
    </w:p>
    <w:p w:rsidR="00B541F3" w:rsidRDefault="00B541F3" w:rsidP="002C55AF">
      <w:pPr>
        <w:pStyle w:val="Default"/>
        <w:jc w:val="both"/>
        <w:rPr>
          <w:sz w:val="20"/>
          <w:szCs w:val="20"/>
        </w:rPr>
      </w:pPr>
    </w:p>
    <w:p w:rsidR="00254EEB" w:rsidRDefault="00217905" w:rsidP="00B541F3">
      <w:pPr>
        <w:pStyle w:val="Default"/>
        <w:numPr>
          <w:ilvl w:val="0"/>
          <w:numId w:val="6"/>
        </w:numPr>
        <w:jc w:val="both"/>
        <w:rPr>
          <w:sz w:val="20"/>
          <w:szCs w:val="20"/>
        </w:rPr>
      </w:pPr>
      <w:r>
        <w:rPr>
          <w:sz w:val="20"/>
          <w:szCs w:val="20"/>
        </w:rPr>
        <w:t xml:space="preserve">Au </w:t>
      </w:r>
      <w:r w:rsidRPr="00E4211A">
        <w:rPr>
          <w:b/>
          <w:sz w:val="20"/>
          <w:szCs w:val="20"/>
        </w:rPr>
        <w:t>Japon, l’hôpital de Fukui</w:t>
      </w:r>
      <w:r>
        <w:rPr>
          <w:sz w:val="20"/>
          <w:szCs w:val="20"/>
        </w:rPr>
        <w:t xml:space="preserve"> utilise les standards GS1 pour son système de gestion de </w:t>
      </w:r>
      <w:r w:rsidR="008870FE">
        <w:rPr>
          <w:sz w:val="20"/>
          <w:szCs w:val="20"/>
        </w:rPr>
        <w:t xml:space="preserve">la </w:t>
      </w:r>
      <w:r>
        <w:rPr>
          <w:sz w:val="20"/>
          <w:szCs w:val="20"/>
        </w:rPr>
        <w:t xml:space="preserve">stérilisation de </w:t>
      </w:r>
      <w:r w:rsidR="004B6E4E">
        <w:rPr>
          <w:sz w:val="20"/>
          <w:szCs w:val="20"/>
        </w:rPr>
        <w:t xml:space="preserve">près de </w:t>
      </w:r>
      <w:r>
        <w:rPr>
          <w:sz w:val="20"/>
          <w:szCs w:val="20"/>
        </w:rPr>
        <w:t xml:space="preserve">20 000 </w:t>
      </w:r>
      <w:r w:rsidR="004B6E4E">
        <w:rPr>
          <w:sz w:val="20"/>
          <w:szCs w:val="20"/>
        </w:rPr>
        <w:t>instruments chirurgicaux. En scannant le code à barres gravé sur chaque instrument chirurgical après stérilisation, l’hôpital a enregistré</w:t>
      </w:r>
      <w:r w:rsidR="005A2654">
        <w:rPr>
          <w:sz w:val="20"/>
          <w:szCs w:val="20"/>
        </w:rPr>
        <w:t xml:space="preserve"> une</w:t>
      </w:r>
      <w:r w:rsidR="004B6E4E">
        <w:rPr>
          <w:sz w:val="20"/>
          <w:szCs w:val="20"/>
        </w:rPr>
        <w:t xml:space="preserve"> baisse de 2 000 heures par an d</w:t>
      </w:r>
      <w:r w:rsidR="005A2654">
        <w:rPr>
          <w:sz w:val="20"/>
          <w:szCs w:val="20"/>
        </w:rPr>
        <w:t>u temps n</w:t>
      </w:r>
      <w:r w:rsidR="004B6E4E">
        <w:rPr>
          <w:sz w:val="20"/>
          <w:szCs w:val="20"/>
        </w:rPr>
        <w:t xml:space="preserve">ormalement dévolu à la </w:t>
      </w:r>
      <w:r w:rsidR="008C40B8">
        <w:rPr>
          <w:sz w:val="20"/>
          <w:szCs w:val="20"/>
        </w:rPr>
        <w:t>préparation</w:t>
      </w:r>
      <w:r w:rsidR="005A2654">
        <w:rPr>
          <w:sz w:val="20"/>
          <w:szCs w:val="20"/>
        </w:rPr>
        <w:t xml:space="preserve"> de</w:t>
      </w:r>
      <w:r w:rsidR="00E4211A">
        <w:rPr>
          <w:sz w:val="20"/>
          <w:szCs w:val="20"/>
        </w:rPr>
        <w:t>s kits de chirurgie pour s</w:t>
      </w:r>
      <w:r w:rsidR="00135E12">
        <w:rPr>
          <w:sz w:val="20"/>
          <w:szCs w:val="20"/>
        </w:rPr>
        <w:t>es salles d’</w:t>
      </w:r>
      <w:r w:rsidR="008C40B8">
        <w:rPr>
          <w:sz w:val="20"/>
          <w:szCs w:val="20"/>
        </w:rPr>
        <w:t>opération.</w:t>
      </w:r>
    </w:p>
    <w:p w:rsidR="00614B3C" w:rsidRDefault="00614B3C" w:rsidP="002C55AF">
      <w:pPr>
        <w:pStyle w:val="Default"/>
        <w:jc w:val="both"/>
        <w:rPr>
          <w:sz w:val="20"/>
          <w:szCs w:val="20"/>
        </w:rPr>
      </w:pPr>
    </w:p>
    <w:p w:rsidR="001607D9" w:rsidRPr="00E4211A" w:rsidRDefault="004B6E4E" w:rsidP="00002413">
      <w:pPr>
        <w:pStyle w:val="Default"/>
        <w:numPr>
          <w:ilvl w:val="0"/>
          <w:numId w:val="6"/>
        </w:numPr>
        <w:jc w:val="both"/>
        <w:rPr>
          <w:i/>
          <w:sz w:val="20"/>
          <w:szCs w:val="20"/>
        </w:rPr>
      </w:pPr>
      <w:r w:rsidRPr="00135E12">
        <w:rPr>
          <w:sz w:val="20"/>
          <w:szCs w:val="20"/>
        </w:rPr>
        <w:t xml:space="preserve">En </w:t>
      </w:r>
      <w:r w:rsidRPr="00E4211A">
        <w:rPr>
          <w:b/>
          <w:sz w:val="20"/>
          <w:szCs w:val="20"/>
        </w:rPr>
        <w:t>Grande-</w:t>
      </w:r>
      <w:r w:rsidR="005A2654" w:rsidRPr="00E4211A">
        <w:rPr>
          <w:b/>
          <w:sz w:val="20"/>
          <w:szCs w:val="20"/>
        </w:rPr>
        <w:t xml:space="preserve">Bretagne, l’hôpital </w:t>
      </w:r>
      <w:r w:rsidR="008C40B8" w:rsidRPr="00E4211A">
        <w:rPr>
          <w:b/>
          <w:sz w:val="20"/>
          <w:szCs w:val="20"/>
        </w:rPr>
        <w:t xml:space="preserve">universitaire </w:t>
      </w:r>
      <w:r w:rsidR="005A2654" w:rsidRPr="00E4211A">
        <w:rPr>
          <w:b/>
          <w:sz w:val="20"/>
          <w:szCs w:val="20"/>
        </w:rPr>
        <w:t>de Derby</w:t>
      </w:r>
      <w:r w:rsidR="005A2654" w:rsidRPr="00135E12">
        <w:rPr>
          <w:sz w:val="20"/>
          <w:szCs w:val="20"/>
        </w:rPr>
        <w:t xml:space="preserve"> a</w:t>
      </w:r>
      <w:r w:rsidR="00B01957" w:rsidRPr="00135E12">
        <w:rPr>
          <w:sz w:val="20"/>
          <w:szCs w:val="20"/>
        </w:rPr>
        <w:t>vait besoin de mettre au point un système plus efficace pour gérer ses rappels de produits</w:t>
      </w:r>
      <w:r w:rsidR="00D6302E" w:rsidRPr="00135E12">
        <w:rPr>
          <w:sz w:val="20"/>
          <w:szCs w:val="20"/>
        </w:rPr>
        <w:t xml:space="preserve"> et rationnaliser ses </w:t>
      </w:r>
      <w:proofErr w:type="spellStart"/>
      <w:r w:rsidR="00D6302E" w:rsidRPr="00135E12">
        <w:rPr>
          <w:sz w:val="20"/>
          <w:szCs w:val="20"/>
        </w:rPr>
        <w:t>process</w:t>
      </w:r>
      <w:proofErr w:type="spellEnd"/>
      <w:r w:rsidR="00D6302E" w:rsidRPr="00135E12">
        <w:rPr>
          <w:sz w:val="20"/>
          <w:szCs w:val="20"/>
        </w:rPr>
        <w:t xml:space="preserve"> au sein du bloc opératoire</w:t>
      </w:r>
      <w:r w:rsidR="00B01957" w:rsidRPr="00135E12">
        <w:rPr>
          <w:sz w:val="20"/>
          <w:szCs w:val="20"/>
        </w:rPr>
        <w:t xml:space="preserve">. </w:t>
      </w:r>
      <w:r w:rsidR="00002413" w:rsidRPr="00E4211A">
        <w:rPr>
          <w:b/>
          <w:sz w:val="20"/>
          <w:szCs w:val="20"/>
        </w:rPr>
        <w:t>Keith Jones</w:t>
      </w:r>
      <w:r w:rsidR="00002413" w:rsidRPr="00B541F3">
        <w:rPr>
          <w:sz w:val="20"/>
          <w:szCs w:val="20"/>
        </w:rPr>
        <w:t xml:space="preserve">, </w:t>
      </w:r>
      <w:r w:rsidR="00E4211A">
        <w:rPr>
          <w:sz w:val="20"/>
          <w:szCs w:val="20"/>
        </w:rPr>
        <w:t>Directeur du Service Chirurgie de l’hôpital</w:t>
      </w:r>
      <w:r w:rsidR="001607D9" w:rsidRPr="00B541F3">
        <w:rPr>
          <w:sz w:val="20"/>
          <w:szCs w:val="20"/>
        </w:rPr>
        <w:t xml:space="preserve"> confirme : </w:t>
      </w:r>
      <w:r w:rsidR="00E4211A">
        <w:rPr>
          <w:i/>
          <w:sz w:val="20"/>
          <w:szCs w:val="20"/>
        </w:rPr>
        <w:t>« </w:t>
      </w:r>
      <w:r w:rsidR="001607D9" w:rsidRPr="00E4211A">
        <w:rPr>
          <w:i/>
          <w:sz w:val="20"/>
          <w:szCs w:val="20"/>
        </w:rPr>
        <w:t xml:space="preserve">Les codes à barres ne sont clairement </w:t>
      </w:r>
      <w:r w:rsidR="00135E12" w:rsidRPr="00E4211A">
        <w:rPr>
          <w:i/>
          <w:sz w:val="20"/>
          <w:szCs w:val="20"/>
        </w:rPr>
        <w:t>plus</w:t>
      </w:r>
      <w:r w:rsidR="001607D9" w:rsidRPr="00E4211A">
        <w:rPr>
          <w:i/>
          <w:sz w:val="20"/>
          <w:szCs w:val="20"/>
        </w:rPr>
        <w:t xml:space="preserve"> réservés au secteur du </w:t>
      </w:r>
      <w:proofErr w:type="spellStart"/>
      <w:r w:rsidR="001607D9" w:rsidRPr="00E4211A">
        <w:rPr>
          <w:i/>
          <w:sz w:val="20"/>
          <w:szCs w:val="20"/>
        </w:rPr>
        <w:t>retail</w:t>
      </w:r>
      <w:proofErr w:type="spellEnd"/>
      <w:r w:rsidR="001607D9" w:rsidRPr="00E4211A">
        <w:rPr>
          <w:i/>
          <w:sz w:val="20"/>
          <w:szCs w:val="20"/>
        </w:rPr>
        <w:t xml:space="preserve">. Nous scannons et enregistrons tout ce qui passe dans nos blocs opératoires, </w:t>
      </w:r>
      <w:r w:rsidR="001607D9" w:rsidRPr="00E4211A">
        <w:rPr>
          <w:i/>
          <w:sz w:val="20"/>
          <w:szCs w:val="20"/>
        </w:rPr>
        <w:lastRenderedPageBreak/>
        <w:t>ce qui représente plus de 100 000 interventions chiru</w:t>
      </w:r>
      <w:r w:rsidR="00135E12" w:rsidRPr="00E4211A">
        <w:rPr>
          <w:i/>
          <w:sz w:val="20"/>
          <w:szCs w:val="20"/>
        </w:rPr>
        <w:t>r</w:t>
      </w:r>
      <w:r w:rsidR="001607D9" w:rsidRPr="00E4211A">
        <w:rPr>
          <w:i/>
          <w:sz w:val="20"/>
          <w:szCs w:val="20"/>
        </w:rPr>
        <w:t xml:space="preserve">gicales. C’est une importante base de données pour la </w:t>
      </w:r>
      <w:r w:rsidR="00135E12" w:rsidRPr="00E4211A">
        <w:rPr>
          <w:i/>
          <w:sz w:val="20"/>
          <w:szCs w:val="20"/>
        </w:rPr>
        <w:t>c</w:t>
      </w:r>
      <w:r w:rsidR="001607D9" w:rsidRPr="00E4211A">
        <w:rPr>
          <w:i/>
          <w:sz w:val="20"/>
          <w:szCs w:val="20"/>
        </w:rPr>
        <w:t xml:space="preserve">linique </w:t>
      </w:r>
      <w:r w:rsidR="00135E12" w:rsidRPr="00E4211A">
        <w:rPr>
          <w:i/>
          <w:sz w:val="20"/>
          <w:szCs w:val="20"/>
        </w:rPr>
        <w:t>que je peux utiliser</w:t>
      </w:r>
      <w:r w:rsidR="001607D9" w:rsidRPr="00E4211A">
        <w:rPr>
          <w:i/>
          <w:sz w:val="20"/>
          <w:szCs w:val="20"/>
        </w:rPr>
        <w:t xml:space="preserve"> pour nous assurer que nous travaillons efficacement. Les standards GS1 sont aussi importants pour la sécurité du patient. Pour rappeler un produit, nous avions habituellement besoin de 50 heures pour retracer le produit défectueux. En utilisant les standards GS1, je sais maintenant exactement qui a été touché</w:t>
      </w:r>
      <w:r w:rsidR="00135E12" w:rsidRPr="00E4211A">
        <w:rPr>
          <w:i/>
          <w:sz w:val="20"/>
          <w:szCs w:val="20"/>
        </w:rPr>
        <w:t xml:space="preserve"> et cela en seulement 30 minutes, ce qui a grandement amélioré notre temps de réponse, ce qui profite finalement au patient. »</w:t>
      </w:r>
    </w:p>
    <w:p w:rsidR="00002413" w:rsidRDefault="00002413" w:rsidP="002C55AF">
      <w:pPr>
        <w:pStyle w:val="Default"/>
        <w:jc w:val="both"/>
        <w:rPr>
          <w:sz w:val="20"/>
          <w:szCs w:val="20"/>
        </w:rPr>
      </w:pPr>
    </w:p>
    <w:p w:rsidR="00D70D4C" w:rsidRDefault="00D70D4C" w:rsidP="00B541F3">
      <w:pPr>
        <w:pStyle w:val="Default"/>
        <w:numPr>
          <w:ilvl w:val="0"/>
          <w:numId w:val="7"/>
        </w:numPr>
        <w:jc w:val="both"/>
        <w:rPr>
          <w:sz w:val="20"/>
          <w:szCs w:val="20"/>
        </w:rPr>
      </w:pPr>
      <w:r>
        <w:rPr>
          <w:sz w:val="20"/>
          <w:szCs w:val="20"/>
        </w:rPr>
        <w:t xml:space="preserve">Toujours en </w:t>
      </w:r>
      <w:r w:rsidRPr="00E4211A">
        <w:rPr>
          <w:b/>
          <w:sz w:val="20"/>
          <w:szCs w:val="20"/>
        </w:rPr>
        <w:t>Grande-Bretagne</w:t>
      </w:r>
      <w:r>
        <w:rPr>
          <w:sz w:val="20"/>
          <w:szCs w:val="20"/>
        </w:rPr>
        <w:t xml:space="preserve">, </w:t>
      </w:r>
      <w:r w:rsidRPr="00E4211A">
        <w:rPr>
          <w:b/>
          <w:sz w:val="20"/>
          <w:szCs w:val="20"/>
        </w:rPr>
        <w:t>l’hôpital de Lancashire</w:t>
      </w:r>
      <w:r>
        <w:rPr>
          <w:sz w:val="20"/>
          <w:szCs w:val="20"/>
        </w:rPr>
        <w:t xml:space="preserve"> utilise les standards GS1 pour un meilleur contrôle et une plus grande visibilité des opérations d’inventaires. Cela lui a permis de diminuer le gaspillage des produits, </w:t>
      </w:r>
      <w:r w:rsidR="00D147A9">
        <w:rPr>
          <w:sz w:val="20"/>
          <w:szCs w:val="20"/>
        </w:rPr>
        <w:t>réduire les coûts de fonctionnement et baisser de façon spectaculaire l</w:t>
      </w:r>
      <w:r>
        <w:rPr>
          <w:sz w:val="20"/>
          <w:szCs w:val="20"/>
        </w:rPr>
        <w:t>es ruptures de stocks.</w:t>
      </w:r>
      <w:r w:rsidR="00346777">
        <w:rPr>
          <w:sz w:val="20"/>
          <w:szCs w:val="20"/>
        </w:rPr>
        <w:t xml:space="preserve"> Ainsi l’équivalent de 7 100 heures de travail par année a été réaffecté</w:t>
      </w:r>
      <w:r w:rsidR="00FF620F">
        <w:rPr>
          <w:sz w:val="20"/>
          <w:szCs w:val="20"/>
        </w:rPr>
        <w:t xml:space="preserve"> aux temps consacré aux soins des patients.</w:t>
      </w:r>
    </w:p>
    <w:p w:rsidR="00FF620F" w:rsidRDefault="00FF620F" w:rsidP="002C55AF">
      <w:pPr>
        <w:pStyle w:val="Default"/>
        <w:jc w:val="both"/>
        <w:rPr>
          <w:sz w:val="20"/>
          <w:szCs w:val="20"/>
        </w:rPr>
      </w:pPr>
    </w:p>
    <w:p w:rsidR="00034FE3" w:rsidRDefault="00034FE3" w:rsidP="00FF620F">
      <w:pPr>
        <w:pStyle w:val="Default"/>
        <w:jc w:val="both"/>
        <w:rPr>
          <w:rFonts w:cs="Calibri"/>
          <w:sz w:val="20"/>
          <w:szCs w:val="20"/>
        </w:rPr>
      </w:pPr>
    </w:p>
    <w:p w:rsidR="00034FE3" w:rsidRDefault="00034FE3" w:rsidP="00FF620F">
      <w:pPr>
        <w:pStyle w:val="Default"/>
        <w:jc w:val="both"/>
        <w:rPr>
          <w:rFonts w:cs="Calibri"/>
          <w:sz w:val="20"/>
          <w:szCs w:val="20"/>
        </w:rPr>
      </w:pPr>
      <w:r>
        <w:rPr>
          <w:b/>
          <w:sz w:val="20"/>
          <w:szCs w:val="20"/>
        </w:rPr>
        <w:t xml:space="preserve">Les nouvelles règlementations santé européennes : de nouveaux défis pour les acteurs de la filière </w:t>
      </w:r>
    </w:p>
    <w:p w:rsidR="00B05A20" w:rsidRDefault="00B05A20" w:rsidP="00FF620F">
      <w:pPr>
        <w:pStyle w:val="Default"/>
        <w:jc w:val="both"/>
        <w:rPr>
          <w:rFonts w:cs="Calibri"/>
          <w:sz w:val="20"/>
          <w:szCs w:val="20"/>
        </w:rPr>
      </w:pPr>
    </w:p>
    <w:p w:rsidR="00B541F3" w:rsidRDefault="00B541F3" w:rsidP="00AB33CF">
      <w:pPr>
        <w:jc w:val="both"/>
        <w:rPr>
          <w:rFonts w:ascii="Verdana" w:hAnsi="Verdana"/>
          <w:sz w:val="20"/>
          <w:szCs w:val="20"/>
        </w:rPr>
      </w:pPr>
      <w:r w:rsidRPr="00B541F3">
        <w:rPr>
          <w:rFonts w:ascii="Verdana" w:hAnsi="Verdana"/>
          <w:sz w:val="20"/>
          <w:szCs w:val="20"/>
        </w:rPr>
        <w:t xml:space="preserve">Le secteur de la </w:t>
      </w:r>
      <w:r w:rsidR="00240C20">
        <w:rPr>
          <w:rFonts w:ascii="Verdana" w:hAnsi="Verdana"/>
          <w:sz w:val="20"/>
          <w:szCs w:val="20"/>
        </w:rPr>
        <w:t xml:space="preserve">santé va très prochainement voir entrer en application deux réglementations qui vont avoir de réelles conséquences pour tous les acteurs du secteur : </w:t>
      </w:r>
      <w:r w:rsidR="004D5EA6">
        <w:rPr>
          <w:rFonts w:ascii="Verdana" w:hAnsi="Verdana"/>
          <w:sz w:val="20"/>
          <w:szCs w:val="20"/>
        </w:rPr>
        <w:t xml:space="preserve">des </w:t>
      </w:r>
      <w:r w:rsidR="00240C20">
        <w:rPr>
          <w:rFonts w:ascii="Verdana" w:hAnsi="Verdana"/>
          <w:sz w:val="20"/>
          <w:szCs w:val="20"/>
        </w:rPr>
        <w:t>pharmacie</w:t>
      </w:r>
      <w:r w:rsidR="004D5EA6">
        <w:rPr>
          <w:rFonts w:ascii="Verdana" w:hAnsi="Verdana"/>
          <w:sz w:val="20"/>
          <w:szCs w:val="20"/>
        </w:rPr>
        <w:t>s aux</w:t>
      </w:r>
      <w:r w:rsidR="00240C20">
        <w:rPr>
          <w:rFonts w:ascii="Verdana" w:hAnsi="Verdana"/>
          <w:sz w:val="20"/>
          <w:szCs w:val="20"/>
        </w:rPr>
        <w:t xml:space="preserve"> h</w:t>
      </w:r>
      <w:r w:rsidR="004D5EA6">
        <w:rPr>
          <w:rFonts w:ascii="Verdana" w:hAnsi="Verdana"/>
          <w:sz w:val="20"/>
          <w:szCs w:val="20"/>
        </w:rPr>
        <w:t>ôpitaux</w:t>
      </w:r>
      <w:r w:rsidR="00240C20">
        <w:rPr>
          <w:rFonts w:ascii="Verdana" w:hAnsi="Verdana"/>
          <w:sz w:val="20"/>
          <w:szCs w:val="20"/>
        </w:rPr>
        <w:t xml:space="preserve"> en passant par les laboratoires</w:t>
      </w:r>
      <w:r w:rsidR="004D5EA6">
        <w:rPr>
          <w:rFonts w:ascii="Verdana" w:hAnsi="Verdana"/>
          <w:sz w:val="20"/>
          <w:szCs w:val="20"/>
        </w:rPr>
        <w:t>, tous vont être concernés par ces nouvelles réglementations</w:t>
      </w:r>
      <w:r w:rsidR="00240C20">
        <w:rPr>
          <w:rFonts w:ascii="Verdana" w:hAnsi="Verdana"/>
          <w:sz w:val="20"/>
          <w:szCs w:val="20"/>
        </w:rPr>
        <w:t xml:space="preserve">. </w:t>
      </w:r>
    </w:p>
    <w:p w:rsidR="00B541F3" w:rsidRDefault="00B541F3" w:rsidP="00B541F3">
      <w:pPr>
        <w:jc w:val="both"/>
        <w:rPr>
          <w:rFonts w:ascii="Verdana" w:hAnsi="Verdana"/>
          <w:sz w:val="20"/>
          <w:szCs w:val="20"/>
        </w:rPr>
      </w:pPr>
      <w:r w:rsidRPr="00B541F3">
        <w:rPr>
          <w:rFonts w:ascii="Verdana" w:hAnsi="Verdana"/>
          <w:sz w:val="20"/>
          <w:szCs w:val="20"/>
        </w:rPr>
        <w:t xml:space="preserve">Initié par la FDA US </w:t>
      </w:r>
      <w:r w:rsidRPr="00B541F3">
        <w:rPr>
          <w:rFonts w:ascii="Verdana" w:hAnsi="Verdana"/>
          <w:i/>
          <w:iCs/>
          <w:sz w:val="20"/>
          <w:szCs w:val="20"/>
        </w:rPr>
        <w:t>(Food and Drug Administration United States)</w:t>
      </w:r>
      <w:r w:rsidRPr="00B541F3">
        <w:rPr>
          <w:rFonts w:ascii="Verdana" w:hAnsi="Verdana"/>
          <w:sz w:val="20"/>
          <w:szCs w:val="20"/>
        </w:rPr>
        <w:t>, la Commission Europé</w:t>
      </w:r>
      <w:r w:rsidR="00061119">
        <w:rPr>
          <w:rFonts w:ascii="Verdana" w:hAnsi="Verdana"/>
          <w:sz w:val="20"/>
          <w:szCs w:val="20"/>
        </w:rPr>
        <w:t>enne et d’autres</w:t>
      </w:r>
      <w:r w:rsidR="00156236">
        <w:rPr>
          <w:rFonts w:ascii="Verdana" w:hAnsi="Verdana"/>
          <w:sz w:val="20"/>
          <w:szCs w:val="20"/>
        </w:rPr>
        <w:t xml:space="preserve"> régulateurs, l’</w:t>
      </w:r>
      <w:r w:rsidRPr="00A31003">
        <w:rPr>
          <w:rFonts w:ascii="Verdana" w:hAnsi="Verdana"/>
          <w:b/>
          <w:sz w:val="20"/>
          <w:szCs w:val="20"/>
        </w:rPr>
        <w:t>UDI</w:t>
      </w:r>
      <w:r w:rsidRPr="00B541F3">
        <w:rPr>
          <w:rFonts w:ascii="Verdana" w:hAnsi="Verdana"/>
          <w:sz w:val="20"/>
          <w:szCs w:val="20"/>
        </w:rPr>
        <w:t xml:space="preserve"> </w:t>
      </w:r>
      <w:r w:rsidRPr="00B541F3">
        <w:rPr>
          <w:rFonts w:ascii="Verdana" w:hAnsi="Verdana"/>
          <w:i/>
          <w:iCs/>
          <w:sz w:val="20"/>
          <w:szCs w:val="20"/>
        </w:rPr>
        <w:t xml:space="preserve">(Unique </w:t>
      </w:r>
      <w:proofErr w:type="spellStart"/>
      <w:r w:rsidRPr="00B541F3">
        <w:rPr>
          <w:rFonts w:ascii="Verdana" w:hAnsi="Verdana"/>
          <w:i/>
          <w:iCs/>
          <w:sz w:val="20"/>
          <w:szCs w:val="20"/>
        </w:rPr>
        <w:t>Device</w:t>
      </w:r>
      <w:proofErr w:type="spellEnd"/>
      <w:r w:rsidRPr="00B541F3">
        <w:rPr>
          <w:rFonts w:ascii="Verdana" w:hAnsi="Verdana"/>
          <w:i/>
          <w:iCs/>
          <w:sz w:val="20"/>
          <w:szCs w:val="20"/>
        </w:rPr>
        <w:t xml:space="preserve"> Identification) </w:t>
      </w:r>
      <w:r w:rsidRPr="00B541F3">
        <w:rPr>
          <w:rFonts w:ascii="Verdana" w:hAnsi="Verdana"/>
          <w:sz w:val="20"/>
          <w:szCs w:val="20"/>
        </w:rPr>
        <w:t xml:space="preserve">est un système international d’identification unique des dispositifs médicaux tout au long de leur cycle de vie, qui permet d’en assurer la traçabilité. Pour l’Europe, les conditions d’applications </w:t>
      </w:r>
      <w:r w:rsidR="00156236">
        <w:rPr>
          <w:rFonts w:ascii="Verdana" w:hAnsi="Verdana"/>
          <w:sz w:val="20"/>
          <w:szCs w:val="20"/>
        </w:rPr>
        <w:t xml:space="preserve">de cette règlementation </w:t>
      </w:r>
      <w:r w:rsidRPr="00B541F3">
        <w:rPr>
          <w:rFonts w:ascii="Verdana" w:hAnsi="Verdana"/>
          <w:sz w:val="20"/>
          <w:szCs w:val="20"/>
        </w:rPr>
        <w:t>devraient s’appliquer d’ici 2019-2020</w:t>
      </w:r>
      <w:r w:rsidR="0049735E">
        <w:rPr>
          <w:rFonts w:ascii="Verdana" w:hAnsi="Verdana"/>
          <w:sz w:val="20"/>
          <w:szCs w:val="20"/>
        </w:rPr>
        <w:t xml:space="preserve">. </w:t>
      </w:r>
      <w:r w:rsidRPr="00B541F3">
        <w:rPr>
          <w:rFonts w:ascii="Verdana" w:hAnsi="Verdana"/>
          <w:sz w:val="20"/>
          <w:szCs w:val="20"/>
        </w:rPr>
        <w:t>Ce dispositif a pour objectif d’améliorer la sécurité des patients et d’optimiser les soins dispensés, en évitant les erreurs médicales et en participant à l’interopérabilité des applicatifs métiers. Il vise également à faciliter la surveillance et la traçabilité des dispositifs médicaux implantables, quel que soit le lieu de fabrication ou d’utilisation. Ce système de standard unique et international est perçu comme fondamental pour assurer une sécurité efficace d’utilisation des dispositifs médicaux.</w:t>
      </w:r>
      <w:r w:rsidR="0049735E">
        <w:rPr>
          <w:rFonts w:ascii="Verdana" w:hAnsi="Verdana"/>
          <w:sz w:val="20"/>
          <w:szCs w:val="20"/>
        </w:rPr>
        <w:t xml:space="preserve"> </w:t>
      </w:r>
      <w:r w:rsidRPr="00B541F3">
        <w:rPr>
          <w:rFonts w:ascii="Verdana" w:hAnsi="Verdana"/>
          <w:sz w:val="20"/>
          <w:szCs w:val="20"/>
        </w:rPr>
        <w:t>Pour se conformer aux prérequis réglementaires, chaque fabricant de dispositifs médicaux pourra choisir le standard GS1 pour structurer le code UDI.</w:t>
      </w:r>
    </w:p>
    <w:p w:rsidR="00D71044" w:rsidRPr="004D5EA6" w:rsidRDefault="00B541F3" w:rsidP="004D5EA6">
      <w:pPr>
        <w:jc w:val="both"/>
        <w:rPr>
          <w:rFonts w:cs="Calibri"/>
          <w:sz w:val="20"/>
          <w:szCs w:val="20"/>
        </w:rPr>
      </w:pPr>
      <w:r w:rsidRPr="00A31003">
        <w:rPr>
          <w:rFonts w:ascii="Verdana" w:hAnsi="Verdana"/>
          <w:sz w:val="20"/>
          <w:szCs w:val="20"/>
        </w:rPr>
        <w:t xml:space="preserve">Autre texte à entrer en application en février 2019, </w:t>
      </w:r>
      <w:r w:rsidRPr="00A31003">
        <w:rPr>
          <w:rFonts w:ascii="Verdana" w:hAnsi="Verdana" w:cs="Calibri"/>
          <w:sz w:val="20"/>
          <w:szCs w:val="20"/>
        </w:rPr>
        <w:t xml:space="preserve">la réglementation européenne </w:t>
      </w:r>
      <w:r w:rsidRPr="00A31003">
        <w:rPr>
          <w:rFonts w:ascii="Verdana" w:hAnsi="Verdana" w:cs="Calibri"/>
          <w:b/>
          <w:sz w:val="20"/>
          <w:szCs w:val="20"/>
        </w:rPr>
        <w:t>de sérialisation des médicaments.</w:t>
      </w:r>
      <w:r w:rsidRPr="00A31003">
        <w:rPr>
          <w:rFonts w:ascii="Verdana" w:hAnsi="Verdana" w:cs="Calibri"/>
          <w:sz w:val="20"/>
          <w:szCs w:val="20"/>
        </w:rPr>
        <w:t xml:space="preserve"> </w:t>
      </w:r>
      <w:r w:rsidRPr="00A31003">
        <w:rPr>
          <w:rFonts w:ascii="Verdana" w:hAnsi="Verdana"/>
          <w:color w:val="211D1E"/>
          <w:sz w:val="20"/>
          <w:szCs w:val="20"/>
        </w:rPr>
        <w:t xml:space="preserve">Cette directive européenne établit les </w:t>
      </w:r>
      <w:r w:rsidRPr="00A31003">
        <w:rPr>
          <w:rFonts w:ascii="Verdana" w:hAnsi="Verdana"/>
          <w:b/>
          <w:bCs/>
          <w:color w:val="211D1E"/>
          <w:sz w:val="20"/>
          <w:szCs w:val="20"/>
        </w:rPr>
        <w:t xml:space="preserve">règles concernant, </w:t>
      </w:r>
      <w:r w:rsidRPr="00A31003">
        <w:rPr>
          <w:rFonts w:ascii="Verdana" w:hAnsi="Verdana"/>
          <w:color w:val="211D1E"/>
          <w:sz w:val="20"/>
          <w:szCs w:val="20"/>
        </w:rPr>
        <w:t xml:space="preserve">entre autres, </w:t>
      </w:r>
      <w:r w:rsidRPr="00A31003">
        <w:rPr>
          <w:rFonts w:ascii="Verdana" w:hAnsi="Verdana"/>
          <w:b/>
          <w:bCs/>
          <w:color w:val="211D1E"/>
          <w:sz w:val="20"/>
          <w:szCs w:val="20"/>
        </w:rPr>
        <w:t xml:space="preserve">la fabrication, l’importation, la mise sur le marché et la distribution en gros de médicaments </w:t>
      </w:r>
      <w:r w:rsidRPr="00A31003">
        <w:rPr>
          <w:rFonts w:ascii="Verdana" w:hAnsi="Verdana"/>
          <w:color w:val="211D1E"/>
          <w:sz w:val="20"/>
          <w:szCs w:val="20"/>
        </w:rPr>
        <w:t xml:space="preserve">dans l’Union Européenne ainsi que les règles relatives aux substances actives. </w:t>
      </w:r>
      <w:r w:rsidR="004D5EA6">
        <w:rPr>
          <w:rFonts w:ascii="Verdana" w:hAnsi="Verdana"/>
          <w:color w:val="211D1E"/>
          <w:sz w:val="20"/>
          <w:szCs w:val="20"/>
        </w:rPr>
        <w:t>Il s’agit du</w:t>
      </w:r>
      <w:r w:rsidR="004D5EA6" w:rsidRPr="004D5EA6">
        <w:rPr>
          <w:rFonts w:ascii="Verdana" w:hAnsi="Verdana"/>
          <w:color w:val="211D1E"/>
          <w:sz w:val="20"/>
          <w:szCs w:val="20"/>
        </w:rPr>
        <w:t xml:space="preserve"> premier système de vérification de bout en bout – depuis l’industriel jusqu’au lieu de distribution - pour les médicaments en Europe. </w:t>
      </w:r>
      <w:r w:rsidR="004D5EA6">
        <w:rPr>
          <w:rFonts w:ascii="Verdana" w:hAnsi="Verdana"/>
          <w:color w:val="211D1E"/>
          <w:sz w:val="20"/>
          <w:szCs w:val="20"/>
        </w:rPr>
        <w:t>Une nécessité</w:t>
      </w:r>
      <w:r w:rsidRPr="00A31003">
        <w:rPr>
          <w:rFonts w:ascii="Verdana" w:hAnsi="Verdana"/>
          <w:color w:val="211D1E"/>
          <w:sz w:val="20"/>
          <w:szCs w:val="20"/>
        </w:rPr>
        <w:t xml:space="preserve"> après la constatation, dans l’Union Européenne, d’une augmentation alarmante du nombre de médicaments falsifiés du point de vue de leur identité, de leur historique ou de leur source.</w:t>
      </w:r>
      <w:r w:rsidR="00A31003">
        <w:rPr>
          <w:rFonts w:ascii="Verdana" w:hAnsi="Verdana"/>
          <w:color w:val="211D1E"/>
          <w:sz w:val="20"/>
          <w:szCs w:val="20"/>
        </w:rPr>
        <w:t xml:space="preserve"> </w:t>
      </w:r>
      <w:r w:rsidR="00A31003" w:rsidRPr="00A31003">
        <w:rPr>
          <w:rFonts w:ascii="Verdana" w:hAnsi="Verdana"/>
          <w:color w:val="211D1E"/>
          <w:sz w:val="20"/>
          <w:szCs w:val="20"/>
        </w:rPr>
        <w:t>L’identification fiable des médicaments aura un impact dans de nombreux domaines clés au sein des acteurs de la chaine d’approvisionnement du médicament : recherche, développement, enregistrement auprès des autorités, fabrication, distribution et sécurité des patients.</w:t>
      </w:r>
    </w:p>
    <w:p w:rsidR="00591FD8" w:rsidRDefault="00591FD8" w:rsidP="002C55AF">
      <w:pPr>
        <w:pStyle w:val="Default"/>
        <w:jc w:val="both"/>
      </w:pPr>
    </w:p>
    <w:p w:rsidR="00156236" w:rsidRDefault="00156236" w:rsidP="002C55AF">
      <w:pPr>
        <w:pStyle w:val="Default"/>
        <w:jc w:val="both"/>
      </w:pPr>
    </w:p>
    <w:p w:rsidR="00156236" w:rsidRDefault="00156236" w:rsidP="002C55AF">
      <w:pPr>
        <w:pStyle w:val="Default"/>
        <w:jc w:val="both"/>
      </w:pPr>
    </w:p>
    <w:p w:rsidR="001676C7" w:rsidRDefault="001676C7" w:rsidP="002C55AF">
      <w:pPr>
        <w:pStyle w:val="Default"/>
        <w:jc w:val="both"/>
        <w:rPr>
          <w:b/>
          <w:sz w:val="32"/>
          <w:szCs w:val="32"/>
        </w:rPr>
      </w:pPr>
      <w:r w:rsidRPr="00B92CC4">
        <w:rPr>
          <w:b/>
          <w:sz w:val="32"/>
          <w:szCs w:val="32"/>
        </w:rPr>
        <w:lastRenderedPageBreak/>
        <w:t xml:space="preserve">A propos de GS1 France </w:t>
      </w:r>
    </w:p>
    <w:p w:rsidR="00721880" w:rsidRPr="00B92CC4" w:rsidRDefault="00721880" w:rsidP="002C55AF">
      <w:pPr>
        <w:pStyle w:val="Default"/>
        <w:jc w:val="both"/>
        <w:rPr>
          <w:b/>
          <w:sz w:val="32"/>
          <w:szCs w:val="32"/>
        </w:rPr>
      </w:pPr>
    </w:p>
    <w:p w:rsidR="001676C7" w:rsidRPr="00DE5182" w:rsidRDefault="00B4417D" w:rsidP="002C55AF">
      <w:pPr>
        <w:pStyle w:val="Default"/>
        <w:jc w:val="both"/>
        <w:rPr>
          <w:b/>
          <w:sz w:val="20"/>
          <w:szCs w:val="20"/>
        </w:rPr>
      </w:pPr>
      <w:r>
        <w:rPr>
          <w:sz w:val="20"/>
          <w:szCs w:val="20"/>
        </w:rPr>
        <w:t>Avec 40 0</w:t>
      </w:r>
      <w:r w:rsidR="001676C7" w:rsidRPr="00DE5182">
        <w:rPr>
          <w:sz w:val="20"/>
          <w:szCs w:val="20"/>
        </w:rPr>
        <w:t xml:space="preserve">00 entreprises adhérentes en France et 1,3 million dans le monde, la mission de GS1 dans 150 pays est, depuis plus de 40 ans, de </w:t>
      </w:r>
      <w:r w:rsidR="001676C7" w:rsidRPr="00DE5182">
        <w:rPr>
          <w:b/>
          <w:bCs/>
          <w:sz w:val="20"/>
          <w:szCs w:val="20"/>
        </w:rPr>
        <w:t>standardiser les technologies pour simplifier, optimiser et sécuriser les échanges d’informations</w:t>
      </w:r>
      <w:r w:rsidR="001676C7" w:rsidRPr="00DE5182">
        <w:rPr>
          <w:sz w:val="20"/>
          <w:szCs w:val="20"/>
        </w:rPr>
        <w:t xml:space="preserve"> entre les entreprises. </w:t>
      </w:r>
    </w:p>
    <w:p w:rsidR="001676C7" w:rsidRPr="00DE5182" w:rsidRDefault="001676C7" w:rsidP="002C55AF">
      <w:pPr>
        <w:spacing w:before="100" w:beforeAutospacing="1" w:after="100" w:afterAutospacing="1"/>
        <w:jc w:val="both"/>
        <w:rPr>
          <w:rFonts w:ascii="Verdana" w:hAnsi="Verdana"/>
          <w:sz w:val="20"/>
          <w:szCs w:val="20"/>
        </w:rPr>
      </w:pPr>
      <w:r w:rsidRPr="00DE5182">
        <w:rPr>
          <w:rFonts w:ascii="Verdana" w:hAnsi="Verdana"/>
          <w:sz w:val="20"/>
          <w:szCs w:val="20"/>
        </w:rPr>
        <w:t xml:space="preserve">Présente dans plus de 15 filières, (Produits Grande consommation, Santé, Produits Frais, E-commerce, Vin et spiritueux, Transport et logistique...) GS1 France propose aux acteurs du marché </w:t>
      </w:r>
      <w:r w:rsidRPr="00DE5182">
        <w:rPr>
          <w:rFonts w:ascii="Verdana" w:hAnsi="Verdana"/>
          <w:b/>
          <w:bCs/>
          <w:sz w:val="20"/>
          <w:szCs w:val="20"/>
        </w:rPr>
        <w:t xml:space="preserve">un espace de collaboration pour </w:t>
      </w:r>
      <w:proofErr w:type="spellStart"/>
      <w:r w:rsidRPr="00DE5182">
        <w:rPr>
          <w:rFonts w:ascii="Verdana" w:hAnsi="Verdana"/>
          <w:b/>
          <w:bCs/>
          <w:sz w:val="20"/>
          <w:szCs w:val="20"/>
        </w:rPr>
        <w:t>co</w:t>
      </w:r>
      <w:proofErr w:type="spellEnd"/>
      <w:r w:rsidRPr="00DE5182">
        <w:rPr>
          <w:rFonts w:ascii="Verdana" w:hAnsi="Verdana"/>
          <w:b/>
          <w:bCs/>
          <w:sz w:val="20"/>
          <w:szCs w:val="20"/>
        </w:rPr>
        <w:t>-concevoir</w:t>
      </w:r>
      <w:r w:rsidRPr="00DE5182">
        <w:rPr>
          <w:rFonts w:ascii="Verdana" w:hAnsi="Verdana"/>
          <w:sz w:val="20"/>
          <w:szCs w:val="20"/>
        </w:rPr>
        <w:t xml:space="preserve"> les standards et solutions qui répondent à leurs enjeux business autour de trois domaines clés : </w:t>
      </w:r>
      <w:r w:rsidRPr="00DE5182">
        <w:rPr>
          <w:rFonts w:ascii="Verdana" w:hAnsi="Verdana"/>
          <w:b/>
          <w:bCs/>
          <w:sz w:val="20"/>
          <w:szCs w:val="20"/>
        </w:rPr>
        <w:t xml:space="preserve">le produit digitalisé, la </w:t>
      </w:r>
      <w:proofErr w:type="spellStart"/>
      <w:r w:rsidRPr="00DE5182">
        <w:rPr>
          <w:rFonts w:ascii="Verdana" w:hAnsi="Verdana"/>
          <w:b/>
          <w:bCs/>
          <w:sz w:val="20"/>
          <w:szCs w:val="20"/>
        </w:rPr>
        <w:t>supply</w:t>
      </w:r>
      <w:proofErr w:type="spellEnd"/>
      <w:r w:rsidRPr="00DE5182">
        <w:rPr>
          <w:rFonts w:ascii="Verdana" w:hAnsi="Verdana"/>
          <w:b/>
          <w:bCs/>
          <w:sz w:val="20"/>
          <w:szCs w:val="20"/>
        </w:rPr>
        <w:t xml:space="preserve"> </w:t>
      </w:r>
      <w:proofErr w:type="spellStart"/>
      <w:r w:rsidRPr="00DE5182">
        <w:rPr>
          <w:rFonts w:ascii="Verdana" w:hAnsi="Verdana"/>
          <w:b/>
          <w:bCs/>
          <w:sz w:val="20"/>
          <w:szCs w:val="20"/>
        </w:rPr>
        <w:t>chain</w:t>
      </w:r>
      <w:proofErr w:type="spellEnd"/>
      <w:r w:rsidRPr="00DE5182">
        <w:rPr>
          <w:rFonts w:ascii="Verdana" w:hAnsi="Verdana"/>
          <w:b/>
          <w:bCs/>
          <w:sz w:val="20"/>
          <w:szCs w:val="20"/>
        </w:rPr>
        <w:t xml:space="preserve"> interconnectée et le commerce </w:t>
      </w:r>
      <w:proofErr w:type="spellStart"/>
      <w:r w:rsidRPr="00DE5182">
        <w:rPr>
          <w:rFonts w:ascii="Verdana" w:hAnsi="Verdana"/>
          <w:b/>
          <w:bCs/>
          <w:sz w:val="20"/>
          <w:szCs w:val="20"/>
        </w:rPr>
        <w:t>omnicanal</w:t>
      </w:r>
      <w:proofErr w:type="spellEnd"/>
      <w:r w:rsidRPr="00DE5182">
        <w:rPr>
          <w:rFonts w:ascii="Verdana" w:hAnsi="Verdana"/>
          <w:sz w:val="20"/>
          <w:szCs w:val="20"/>
        </w:rPr>
        <w:t xml:space="preserve">. </w:t>
      </w:r>
    </w:p>
    <w:p w:rsidR="008E12BB" w:rsidRDefault="001676C7" w:rsidP="002C55AF">
      <w:pPr>
        <w:spacing w:before="100" w:beforeAutospacing="1" w:after="100" w:afterAutospacing="1"/>
        <w:jc w:val="both"/>
        <w:rPr>
          <w:rFonts w:ascii="Verdana" w:hAnsi="Verdana"/>
          <w:sz w:val="20"/>
          <w:szCs w:val="20"/>
        </w:rPr>
      </w:pPr>
      <w:r w:rsidRPr="00DE5182">
        <w:rPr>
          <w:rFonts w:ascii="Verdana" w:hAnsi="Verdana"/>
          <w:b/>
          <w:sz w:val="20"/>
          <w:szCs w:val="20"/>
        </w:rPr>
        <w:t>GS1</w:t>
      </w:r>
      <w:r w:rsidRPr="00DE5182">
        <w:rPr>
          <w:rFonts w:ascii="Verdana" w:hAnsi="Verdana"/>
          <w:b/>
          <w:color w:val="1F497D"/>
          <w:sz w:val="20"/>
          <w:szCs w:val="20"/>
        </w:rPr>
        <w:t xml:space="preserve"> </w:t>
      </w:r>
      <w:r w:rsidRPr="00DE5182">
        <w:rPr>
          <w:rFonts w:ascii="Verdana" w:hAnsi="Verdana"/>
          <w:b/>
          <w:sz w:val="20"/>
          <w:szCs w:val="20"/>
        </w:rPr>
        <w:t>France accompagne aussi bien les grands groupes que les TPE/ PME</w:t>
      </w:r>
      <w:r w:rsidRPr="00DE5182">
        <w:rPr>
          <w:rFonts w:ascii="Verdana" w:hAnsi="Verdana"/>
          <w:sz w:val="20"/>
          <w:szCs w:val="20"/>
        </w:rPr>
        <w:t xml:space="preserve"> à mettre en œuvre le code à barres, les échanges dématérialisés, les catalogues électroniques, le commerce électronique, la RFID...</w:t>
      </w:r>
    </w:p>
    <w:p w:rsidR="00721880" w:rsidRPr="00721880" w:rsidRDefault="00721880" w:rsidP="002C55AF">
      <w:pPr>
        <w:spacing w:before="100" w:beforeAutospacing="1" w:after="100" w:afterAutospacing="1"/>
        <w:jc w:val="both"/>
        <w:rPr>
          <w:rFonts w:ascii="Verdana" w:hAnsi="Verdana"/>
          <w:sz w:val="20"/>
          <w:szCs w:val="20"/>
        </w:rPr>
      </w:pPr>
    </w:p>
    <w:p w:rsidR="008E12BB" w:rsidRPr="00D35780" w:rsidRDefault="008E12BB" w:rsidP="002C55AF">
      <w:pPr>
        <w:pStyle w:val="Default"/>
        <w:pBdr>
          <w:top w:val="single" w:sz="4" w:space="1" w:color="auto"/>
          <w:left w:val="single" w:sz="4" w:space="4" w:color="auto"/>
          <w:bottom w:val="single" w:sz="4" w:space="1" w:color="auto"/>
          <w:right w:val="single" w:sz="4" w:space="4" w:color="auto"/>
        </w:pBdr>
        <w:jc w:val="both"/>
        <w:rPr>
          <w:rFonts w:cs="Arial"/>
          <w:color w:val="3E3E3E"/>
          <w:sz w:val="20"/>
          <w:szCs w:val="20"/>
        </w:rPr>
      </w:pPr>
      <w:r w:rsidRPr="00D35780">
        <w:rPr>
          <w:b/>
          <w:sz w:val="20"/>
          <w:szCs w:val="20"/>
        </w:rPr>
        <w:t>Contact presse :</w:t>
      </w:r>
      <w:r w:rsidRPr="00D35780">
        <w:rPr>
          <w:sz w:val="20"/>
          <w:szCs w:val="20"/>
        </w:rPr>
        <w:t xml:space="preserve"> Julien Hutton ; </w:t>
      </w:r>
      <w:r>
        <w:rPr>
          <w:rFonts w:cs="Arial"/>
          <w:color w:val="3E3E3E"/>
          <w:sz w:val="20"/>
          <w:szCs w:val="20"/>
        </w:rPr>
        <w:t>T +33 (0)1 40 22 17 6</w:t>
      </w:r>
      <w:r w:rsidRPr="00D35780">
        <w:rPr>
          <w:rFonts w:cs="Arial"/>
          <w:color w:val="3E3E3E"/>
          <w:sz w:val="20"/>
          <w:szCs w:val="20"/>
        </w:rPr>
        <w:t xml:space="preserve">2; </w:t>
      </w:r>
      <w:r w:rsidR="00C17033">
        <w:rPr>
          <w:rFonts w:cs="Arial"/>
          <w:color w:val="3E3E3E"/>
          <w:sz w:val="20"/>
          <w:szCs w:val="20"/>
        </w:rPr>
        <w:t xml:space="preserve">T +33 (0)6 24 29 32 52 </w:t>
      </w:r>
      <w:hyperlink r:id="rId8" w:history="1">
        <w:r w:rsidRPr="00D35780">
          <w:rPr>
            <w:rStyle w:val="Lienhypertexte"/>
            <w:rFonts w:cs="Arial"/>
            <w:sz w:val="20"/>
            <w:szCs w:val="20"/>
          </w:rPr>
          <w:t>julien.hutton@gs1fr.org</w:t>
        </w:r>
      </w:hyperlink>
    </w:p>
    <w:sectPr w:rsidR="008E12BB" w:rsidRPr="00D35780" w:rsidSect="00952797">
      <w:headerReference w:type="default" r:id="rId9"/>
      <w:footerReference w:type="default" r:id="rId10"/>
      <w:headerReference w:type="first" r:id="rId11"/>
      <w:footerReference w:type="first" r:id="rId12"/>
      <w:pgSz w:w="11906" w:h="16838"/>
      <w:pgMar w:top="2268"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37" w:rsidRDefault="009B7B37" w:rsidP="0094541B">
      <w:pPr>
        <w:spacing w:after="0" w:line="240" w:lineRule="auto"/>
      </w:pPr>
      <w:r>
        <w:separator/>
      </w:r>
    </w:p>
  </w:endnote>
  <w:endnote w:type="continuationSeparator" w:id="0">
    <w:p w:rsidR="009B7B37" w:rsidRDefault="009B7B37" w:rsidP="0094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1B" w:rsidRPr="0094541B" w:rsidRDefault="0094541B" w:rsidP="0094541B">
    <w:pPr>
      <w:pStyle w:val="Pieddepage"/>
      <w:rPr>
        <w:sz w:val="14"/>
        <w:szCs w:val="14"/>
      </w:rPr>
    </w:pPr>
  </w:p>
  <w:p w:rsidR="00952797" w:rsidRPr="00952797" w:rsidRDefault="004069EE">
    <w:pPr>
      <w:pStyle w:val="Pieddepage"/>
      <w:rPr>
        <w:rFonts w:ascii="Verdana" w:hAnsi="Verdana"/>
        <w:noProof/>
        <w:color w:val="002C6C"/>
        <w:sz w:val="14"/>
        <w:szCs w:val="14"/>
      </w:rPr>
    </w:pPr>
    <w:hyperlink r:id="rId1" w:history="1">
      <w:r w:rsidR="00952797" w:rsidRPr="0094541B">
        <w:rPr>
          <w:rFonts w:ascii="Verdana" w:eastAsia="Times New Roman" w:hAnsi="Verdana" w:cs="Times New Roman"/>
          <w:color w:val="F26334"/>
          <w:sz w:val="14"/>
          <w:szCs w:val="14"/>
          <w:u w:val="single"/>
        </w:rPr>
        <w:t>www.gs1.fr</w:t>
      </w:r>
    </w:hyperlink>
    <w:r w:rsidR="00952797">
      <w:rPr>
        <w:sz w:val="14"/>
        <w:szCs w:val="14"/>
      </w:rPr>
      <w:tab/>
    </w:r>
    <w:r w:rsidR="00952797">
      <w:rPr>
        <w:sz w:val="14"/>
        <w:szCs w:val="14"/>
      </w:rPr>
      <w:tab/>
    </w:r>
    <w:r w:rsidR="00952797" w:rsidRPr="0094541B">
      <w:rPr>
        <w:rFonts w:ascii="Verdana" w:hAnsi="Verdana"/>
        <w:color w:val="002C6C"/>
        <w:sz w:val="14"/>
        <w:szCs w:val="14"/>
      </w:rPr>
      <w:fldChar w:fldCharType="begin"/>
    </w:r>
    <w:r w:rsidR="00952797" w:rsidRPr="0094541B">
      <w:rPr>
        <w:rFonts w:ascii="Verdana" w:hAnsi="Verdana"/>
        <w:color w:val="002C6C"/>
        <w:sz w:val="14"/>
        <w:szCs w:val="14"/>
      </w:rPr>
      <w:instrText xml:space="preserve"> PAGE   \* MERGEFORMAT </w:instrText>
    </w:r>
    <w:r w:rsidR="00952797" w:rsidRPr="0094541B">
      <w:rPr>
        <w:rFonts w:ascii="Verdana" w:hAnsi="Verdana"/>
        <w:color w:val="002C6C"/>
        <w:sz w:val="14"/>
        <w:szCs w:val="14"/>
      </w:rPr>
      <w:fldChar w:fldCharType="separate"/>
    </w:r>
    <w:r>
      <w:rPr>
        <w:rFonts w:ascii="Verdana" w:hAnsi="Verdana"/>
        <w:noProof/>
        <w:color w:val="002C6C"/>
        <w:sz w:val="14"/>
        <w:szCs w:val="14"/>
      </w:rPr>
      <w:t>4</w:t>
    </w:r>
    <w:r w:rsidR="00952797" w:rsidRPr="0094541B">
      <w:rPr>
        <w:rFonts w:ascii="Verdana" w:hAnsi="Verdana"/>
        <w:noProof/>
        <w:color w:val="002C6C"/>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67" w:rsidRPr="0094541B" w:rsidRDefault="00230267" w:rsidP="00230267">
    <w:pPr>
      <w:tabs>
        <w:tab w:val="center" w:pos="4320"/>
        <w:tab w:val="left" w:pos="6480"/>
        <w:tab w:val="right" w:pos="8640"/>
      </w:tabs>
      <w:spacing w:after="10"/>
      <w:ind w:right="839"/>
      <w:rPr>
        <w:rFonts w:ascii="Verdana" w:eastAsia="Times New Roman" w:hAnsi="Verdana" w:cs="Arial"/>
        <w:color w:val="002C6C"/>
        <w:sz w:val="14"/>
        <w:szCs w:val="14"/>
        <w:lang w:val="fr-BE"/>
      </w:rPr>
    </w:pPr>
    <w:bookmarkStart w:id="1" w:name="zCoAddress"/>
    <w:r w:rsidRPr="0094541B">
      <w:rPr>
        <w:rFonts w:ascii="Verdana" w:eastAsia="Times New Roman" w:hAnsi="Verdana" w:cs="Arial"/>
        <w:color w:val="002C6C"/>
        <w:sz w:val="14"/>
        <w:szCs w:val="14"/>
        <w:lang w:val="fr-BE"/>
      </w:rPr>
      <w:t>2</w:t>
    </w:r>
    <w:r>
      <w:rPr>
        <w:rFonts w:ascii="Verdana" w:eastAsia="Times New Roman" w:hAnsi="Verdana" w:cs="Arial"/>
        <w:color w:val="002C6C"/>
        <w:sz w:val="14"/>
        <w:szCs w:val="14"/>
        <w:lang w:val="fr-BE"/>
      </w:rPr>
      <w:t>1 boulevard Hauss</w:t>
    </w:r>
    <w:r w:rsidRPr="0094541B">
      <w:rPr>
        <w:rFonts w:ascii="Verdana" w:eastAsia="Times New Roman" w:hAnsi="Verdana" w:cs="Arial"/>
        <w:color w:val="002C6C"/>
        <w:sz w:val="14"/>
        <w:szCs w:val="14"/>
        <w:lang w:val="fr-BE"/>
      </w:rPr>
      <w:t>mann</w:t>
    </w:r>
  </w:p>
  <w:p w:rsidR="00230267" w:rsidRPr="0094541B" w:rsidRDefault="00230267" w:rsidP="00230267">
    <w:pPr>
      <w:tabs>
        <w:tab w:val="center" w:pos="4320"/>
        <w:tab w:val="left" w:pos="6480"/>
        <w:tab w:val="right" w:pos="8640"/>
      </w:tabs>
      <w:spacing w:after="10"/>
      <w:ind w:right="839"/>
      <w:rPr>
        <w:rFonts w:ascii="Verdana" w:eastAsia="Times New Roman" w:hAnsi="Verdana" w:cs="Arial"/>
        <w:color w:val="002C6C"/>
        <w:sz w:val="14"/>
        <w:szCs w:val="14"/>
        <w:lang w:val="fr-BE"/>
      </w:rPr>
    </w:pPr>
    <w:r>
      <w:rPr>
        <w:rFonts w:ascii="Verdana" w:eastAsia="Times New Roman" w:hAnsi="Verdana" w:cs="Arial"/>
        <w:color w:val="002C6C"/>
        <w:sz w:val="14"/>
        <w:szCs w:val="14"/>
        <w:lang w:val="fr-BE"/>
      </w:rPr>
      <w:t>75009 Paris</w:t>
    </w:r>
  </w:p>
  <w:p w:rsidR="00230267" w:rsidRDefault="00230267" w:rsidP="00230267">
    <w:pPr>
      <w:tabs>
        <w:tab w:val="center" w:pos="4320"/>
        <w:tab w:val="left" w:pos="6480"/>
        <w:tab w:val="right" w:pos="8640"/>
      </w:tabs>
      <w:spacing w:after="10"/>
      <w:ind w:right="839"/>
      <w:rPr>
        <w:rFonts w:ascii="Verdana" w:eastAsia="Times New Roman" w:hAnsi="Verdana" w:cs="Arial"/>
        <w:color w:val="002C6C"/>
        <w:sz w:val="14"/>
        <w:szCs w:val="14"/>
        <w:lang w:val="fr-BE"/>
      </w:rPr>
    </w:pPr>
    <w:r w:rsidRPr="0094541B">
      <w:rPr>
        <w:rFonts w:ascii="Verdana" w:eastAsia="Times New Roman" w:hAnsi="Verdana" w:cs="Arial"/>
        <w:b/>
        <w:color w:val="002C6C"/>
        <w:sz w:val="14"/>
        <w:szCs w:val="14"/>
        <w:lang w:val="fr-BE"/>
      </w:rPr>
      <w:t>T</w:t>
    </w:r>
    <w:r w:rsidRPr="0094541B">
      <w:rPr>
        <w:rFonts w:ascii="Verdana" w:eastAsia="Times New Roman" w:hAnsi="Verdana" w:cs="Arial"/>
        <w:color w:val="002C6C"/>
        <w:sz w:val="14"/>
        <w:szCs w:val="14"/>
        <w:lang w:val="fr-BE"/>
      </w:rPr>
      <w:t xml:space="preserve"> +33 (0)1 40 </w:t>
    </w:r>
    <w:r>
      <w:rPr>
        <w:rFonts w:ascii="Verdana" w:eastAsia="Times New Roman" w:hAnsi="Verdana" w:cs="Arial"/>
        <w:color w:val="002C6C"/>
        <w:sz w:val="14"/>
        <w:szCs w:val="14"/>
        <w:lang w:val="fr-BE"/>
      </w:rPr>
      <w:t>22</w:t>
    </w:r>
    <w:r w:rsidRPr="0094541B">
      <w:rPr>
        <w:rFonts w:ascii="Verdana" w:eastAsia="Times New Roman" w:hAnsi="Verdana" w:cs="Arial"/>
        <w:color w:val="002C6C"/>
        <w:sz w:val="14"/>
        <w:szCs w:val="14"/>
        <w:lang w:val="fr-BE"/>
      </w:rPr>
      <w:t xml:space="preserve"> </w:t>
    </w:r>
    <w:r>
      <w:rPr>
        <w:rFonts w:ascii="Verdana" w:eastAsia="Times New Roman" w:hAnsi="Verdana" w:cs="Arial"/>
        <w:color w:val="002C6C"/>
        <w:sz w:val="14"/>
        <w:szCs w:val="14"/>
        <w:lang w:val="fr-BE"/>
      </w:rPr>
      <w:t>17 0</w:t>
    </w:r>
    <w:r w:rsidRPr="0094541B">
      <w:rPr>
        <w:rFonts w:ascii="Verdana" w:eastAsia="Times New Roman" w:hAnsi="Verdana" w:cs="Arial"/>
        <w:color w:val="002C6C"/>
        <w:sz w:val="14"/>
        <w:szCs w:val="14"/>
        <w:lang w:val="fr-BE"/>
      </w:rPr>
      <w:t xml:space="preserve">0 </w:t>
    </w:r>
  </w:p>
  <w:p w:rsidR="00230267" w:rsidRPr="0094541B" w:rsidRDefault="00230267" w:rsidP="00230267">
    <w:pPr>
      <w:tabs>
        <w:tab w:val="center" w:pos="4320"/>
        <w:tab w:val="left" w:pos="6480"/>
        <w:tab w:val="right" w:pos="8640"/>
      </w:tabs>
      <w:spacing w:after="10"/>
      <w:ind w:right="839"/>
      <w:rPr>
        <w:rFonts w:ascii="Verdana" w:eastAsia="Times New Roman" w:hAnsi="Verdana" w:cs="Arial"/>
        <w:color w:val="002C6C"/>
        <w:sz w:val="14"/>
        <w:szCs w:val="14"/>
        <w:lang w:val="fr-BE"/>
      </w:rPr>
    </w:pPr>
    <w:r>
      <w:rPr>
        <w:rFonts w:ascii="Verdana" w:eastAsia="Times New Roman" w:hAnsi="Verdana" w:cs="Arial"/>
        <w:b/>
        <w:color w:val="002C6C"/>
        <w:sz w:val="14"/>
        <w:szCs w:val="14"/>
        <w:lang w:val="fr-BE"/>
      </w:rPr>
      <w:t>F</w:t>
    </w:r>
    <w:r w:rsidRPr="0094541B">
      <w:rPr>
        <w:rFonts w:ascii="Verdana" w:eastAsia="Times New Roman" w:hAnsi="Verdana" w:cs="Arial"/>
        <w:color w:val="002C6C"/>
        <w:sz w:val="14"/>
        <w:szCs w:val="14"/>
        <w:lang w:val="fr-BE"/>
      </w:rPr>
      <w:t xml:space="preserve"> +33 (0)1 40 </w:t>
    </w:r>
    <w:r>
      <w:rPr>
        <w:rFonts w:ascii="Verdana" w:eastAsia="Times New Roman" w:hAnsi="Verdana" w:cs="Arial"/>
        <w:color w:val="002C6C"/>
        <w:sz w:val="14"/>
        <w:szCs w:val="14"/>
        <w:lang w:val="fr-BE"/>
      </w:rPr>
      <w:t>22</w:t>
    </w:r>
    <w:r w:rsidRPr="0094541B">
      <w:rPr>
        <w:rFonts w:ascii="Verdana" w:eastAsia="Times New Roman" w:hAnsi="Verdana" w:cs="Arial"/>
        <w:color w:val="002C6C"/>
        <w:sz w:val="14"/>
        <w:szCs w:val="14"/>
        <w:lang w:val="fr-BE"/>
      </w:rPr>
      <w:t xml:space="preserve"> </w:t>
    </w:r>
    <w:r>
      <w:rPr>
        <w:rFonts w:ascii="Verdana" w:eastAsia="Times New Roman" w:hAnsi="Verdana" w:cs="Arial"/>
        <w:color w:val="002C6C"/>
        <w:sz w:val="14"/>
        <w:szCs w:val="14"/>
        <w:lang w:val="fr-BE"/>
      </w:rPr>
      <w:t>17 01</w:t>
    </w:r>
    <w:r w:rsidRPr="0094541B">
      <w:rPr>
        <w:rFonts w:ascii="Verdana" w:eastAsia="Times New Roman" w:hAnsi="Verdana" w:cs="Arial"/>
        <w:color w:val="002C6C"/>
        <w:sz w:val="14"/>
        <w:szCs w:val="14"/>
        <w:lang w:val="fr-BE"/>
      </w:rPr>
      <w:t xml:space="preserve"> </w:t>
    </w:r>
  </w:p>
  <w:p w:rsidR="00230267" w:rsidRPr="0094541B" w:rsidRDefault="00230267" w:rsidP="00230267">
    <w:pPr>
      <w:tabs>
        <w:tab w:val="center" w:pos="4320"/>
        <w:tab w:val="left" w:pos="6480"/>
        <w:tab w:val="right" w:pos="8640"/>
      </w:tabs>
      <w:spacing w:after="10"/>
      <w:ind w:right="839"/>
      <w:rPr>
        <w:rFonts w:ascii="Verdana" w:eastAsia="Times New Roman" w:hAnsi="Verdana" w:cs="Arial"/>
        <w:color w:val="1F497D"/>
        <w:sz w:val="14"/>
        <w:szCs w:val="14"/>
      </w:rPr>
    </w:pPr>
    <w:r w:rsidRPr="0094541B">
      <w:rPr>
        <w:rFonts w:ascii="Verdana" w:eastAsia="Times New Roman" w:hAnsi="Verdana" w:cs="Arial"/>
        <w:b/>
        <w:color w:val="1F497D"/>
        <w:sz w:val="14"/>
        <w:szCs w:val="14"/>
      </w:rPr>
      <w:t>E</w:t>
    </w:r>
    <w:r w:rsidRPr="0094541B">
      <w:rPr>
        <w:rFonts w:ascii="Verdana" w:eastAsia="Times New Roman" w:hAnsi="Verdana" w:cs="Arial"/>
        <w:color w:val="1F497D"/>
        <w:sz w:val="14"/>
        <w:szCs w:val="14"/>
      </w:rPr>
      <w:t xml:space="preserve"> </w:t>
    </w:r>
    <w:hyperlink r:id="rId1" w:history="1">
      <w:r w:rsidRPr="0094541B">
        <w:rPr>
          <w:rFonts w:ascii="Verdana" w:eastAsia="Times New Roman" w:hAnsi="Verdana" w:cs="Arial"/>
          <w:color w:val="1F497D"/>
          <w:sz w:val="14"/>
          <w:szCs w:val="14"/>
          <w:u w:val="single"/>
        </w:rPr>
        <w:t>info@gs1fr.org</w:t>
      </w:r>
    </w:hyperlink>
  </w:p>
  <w:p w:rsidR="00230267" w:rsidRPr="00342526" w:rsidRDefault="00230267" w:rsidP="00230267">
    <w:pPr>
      <w:spacing w:after="10"/>
      <w:ind w:right="839"/>
      <w:rPr>
        <w:rFonts w:ascii="Verdana" w:hAnsi="Verdana"/>
        <w:color w:val="002C6C"/>
        <w:sz w:val="14"/>
        <w:szCs w:val="14"/>
      </w:rPr>
    </w:pPr>
    <w:r w:rsidRPr="00342526">
      <w:rPr>
        <w:rFonts w:ascii="Verdana" w:hAnsi="Verdana"/>
        <w:color w:val="002C6C"/>
        <w:sz w:val="14"/>
        <w:szCs w:val="14"/>
      </w:rPr>
      <w:t>Société par actions simplifiée à capital variable</w:t>
    </w:r>
  </w:p>
  <w:p w:rsidR="00230267" w:rsidRDefault="00230267" w:rsidP="00230267">
    <w:pPr>
      <w:spacing w:after="10"/>
      <w:ind w:right="839"/>
      <w:rPr>
        <w:rFonts w:ascii="Verdana" w:hAnsi="Verdana"/>
        <w:color w:val="002C6C"/>
        <w:sz w:val="14"/>
        <w:szCs w:val="14"/>
      </w:rPr>
    </w:pPr>
    <w:r w:rsidRPr="00342526">
      <w:rPr>
        <w:rFonts w:ascii="Verdana" w:hAnsi="Verdana"/>
        <w:color w:val="002C6C"/>
        <w:sz w:val="14"/>
        <w:szCs w:val="14"/>
      </w:rPr>
      <w:t>Au capital plancher de 250.000 Euros</w:t>
    </w:r>
  </w:p>
  <w:p w:rsidR="00230267" w:rsidRPr="0094541B" w:rsidRDefault="00230267" w:rsidP="00230267">
    <w:pPr>
      <w:tabs>
        <w:tab w:val="center" w:pos="3337"/>
      </w:tabs>
      <w:spacing w:after="10"/>
      <w:ind w:right="839"/>
      <w:rPr>
        <w:rFonts w:ascii="Verdana" w:eastAsia="Times New Roman" w:hAnsi="Verdana" w:cs="Arial"/>
        <w:color w:val="002C6C"/>
        <w:sz w:val="14"/>
        <w:szCs w:val="14"/>
      </w:rPr>
    </w:pPr>
    <w:r>
      <w:rPr>
        <w:rFonts w:ascii="Verdana" w:eastAsia="Times New Roman" w:hAnsi="Verdana" w:cs="Arial"/>
        <w:color w:val="002C6C"/>
        <w:sz w:val="14"/>
        <w:szCs w:val="14"/>
      </w:rPr>
      <w:t>RCS Paris</w:t>
    </w:r>
    <w:r w:rsidRPr="0094541B">
      <w:rPr>
        <w:rFonts w:ascii="Verdana" w:eastAsia="Times New Roman" w:hAnsi="Verdana" w:cs="Arial"/>
        <w:color w:val="002C6C"/>
        <w:sz w:val="14"/>
        <w:szCs w:val="14"/>
      </w:rPr>
      <w:t xml:space="preserve"> 305 545 675 </w:t>
    </w:r>
  </w:p>
  <w:p w:rsidR="00230267" w:rsidRPr="0094541B" w:rsidRDefault="00230267" w:rsidP="00230267">
    <w:pPr>
      <w:tabs>
        <w:tab w:val="center" w:pos="3337"/>
      </w:tabs>
      <w:spacing w:after="10"/>
      <w:ind w:right="839"/>
      <w:rPr>
        <w:rFonts w:ascii="Verdana" w:eastAsia="Times New Roman" w:hAnsi="Verdana" w:cs="Arial"/>
        <w:color w:val="002C6C"/>
        <w:sz w:val="14"/>
        <w:szCs w:val="14"/>
      </w:rPr>
    </w:pPr>
    <w:r w:rsidRPr="0094541B">
      <w:rPr>
        <w:rFonts w:ascii="Verdana" w:eastAsia="Times New Roman" w:hAnsi="Verdana" w:cs="Arial"/>
        <w:color w:val="002C6C"/>
        <w:sz w:val="14"/>
        <w:szCs w:val="14"/>
      </w:rPr>
      <w:t xml:space="preserve">APE </w:t>
    </w:r>
    <w:r>
      <w:rPr>
        <w:rFonts w:ascii="Verdana" w:eastAsia="Times New Roman" w:hAnsi="Verdana" w:cs="Arial"/>
        <w:color w:val="002C6C"/>
        <w:sz w:val="14"/>
        <w:szCs w:val="14"/>
      </w:rPr>
      <w:t>8299</w:t>
    </w:r>
    <w:r w:rsidRPr="0094541B">
      <w:rPr>
        <w:rFonts w:ascii="Verdana" w:eastAsia="Times New Roman" w:hAnsi="Verdana" w:cs="Arial"/>
        <w:color w:val="002C6C"/>
        <w:sz w:val="14"/>
        <w:szCs w:val="14"/>
      </w:rPr>
      <w:t>Z - TVA FR 35 305 545</w:t>
    </w:r>
    <w:r>
      <w:rPr>
        <w:rFonts w:ascii="Verdana" w:eastAsia="Times New Roman" w:hAnsi="Verdana" w:cs="Arial"/>
        <w:color w:val="002C6C"/>
        <w:sz w:val="14"/>
        <w:szCs w:val="14"/>
      </w:rPr>
      <w:t> </w:t>
    </w:r>
    <w:r w:rsidRPr="0094541B">
      <w:rPr>
        <w:rFonts w:ascii="Verdana" w:eastAsia="Times New Roman" w:hAnsi="Verdana" w:cs="Arial"/>
        <w:color w:val="002C6C"/>
        <w:sz w:val="14"/>
        <w:szCs w:val="14"/>
      </w:rPr>
      <w:t>675</w:t>
    </w:r>
  </w:p>
  <w:bookmarkEnd w:id="1"/>
  <w:p w:rsidR="0094541B" w:rsidRPr="0094541B" w:rsidRDefault="0094541B" w:rsidP="0094541B">
    <w:pPr>
      <w:tabs>
        <w:tab w:val="center" w:pos="4320"/>
        <w:tab w:val="right" w:pos="8640"/>
      </w:tabs>
      <w:spacing w:after="0"/>
      <w:ind w:right="839"/>
      <w:rPr>
        <w:rFonts w:ascii="Verdana" w:eastAsia="Times New Roman" w:hAnsi="Verdana" w:cs="Times New Roman"/>
        <w:sz w:val="14"/>
        <w:szCs w:val="14"/>
      </w:rPr>
    </w:pPr>
  </w:p>
  <w:bookmarkStart w:id="2" w:name="zURL"/>
  <w:p w:rsidR="0094541B" w:rsidRPr="0094541B" w:rsidRDefault="0094541B" w:rsidP="00E414CD">
    <w:pPr>
      <w:pStyle w:val="Pieddepage"/>
      <w:tabs>
        <w:tab w:val="clear" w:pos="4536"/>
        <w:tab w:val="center" w:pos="6379"/>
      </w:tabs>
      <w:rPr>
        <w:sz w:val="14"/>
        <w:szCs w:val="14"/>
      </w:rPr>
    </w:pPr>
    <w:r w:rsidRPr="0094541B">
      <w:rPr>
        <w:rFonts w:ascii="Verdana" w:eastAsia="Times New Roman" w:hAnsi="Verdana" w:cs="Times New Roman"/>
        <w:color w:val="F26334"/>
        <w:sz w:val="14"/>
        <w:szCs w:val="14"/>
        <w:lang w:val="en-GB"/>
      </w:rPr>
      <w:fldChar w:fldCharType="begin"/>
    </w:r>
    <w:r w:rsidRPr="0094541B">
      <w:rPr>
        <w:rFonts w:ascii="Verdana" w:eastAsia="Times New Roman" w:hAnsi="Verdana" w:cs="Times New Roman"/>
        <w:color w:val="F26334"/>
        <w:sz w:val="14"/>
        <w:szCs w:val="14"/>
      </w:rPr>
      <w:instrText xml:space="preserve"> HYPERLINK "http://www.gs1.fr" </w:instrText>
    </w:r>
    <w:r w:rsidRPr="0094541B">
      <w:rPr>
        <w:rFonts w:ascii="Verdana" w:eastAsia="Times New Roman" w:hAnsi="Verdana" w:cs="Times New Roman"/>
        <w:color w:val="F26334"/>
        <w:sz w:val="14"/>
        <w:szCs w:val="14"/>
        <w:lang w:val="en-GB"/>
      </w:rPr>
      <w:fldChar w:fldCharType="separate"/>
    </w:r>
    <w:r w:rsidRPr="0094541B">
      <w:rPr>
        <w:rFonts w:ascii="Verdana" w:eastAsia="Times New Roman" w:hAnsi="Verdana" w:cs="Times New Roman"/>
        <w:color w:val="F26334"/>
        <w:sz w:val="14"/>
        <w:szCs w:val="14"/>
        <w:u w:val="single"/>
      </w:rPr>
      <w:t>www.gs1.</w:t>
    </w:r>
    <w:bookmarkEnd w:id="2"/>
    <w:r w:rsidRPr="0094541B">
      <w:rPr>
        <w:rFonts w:ascii="Verdana" w:eastAsia="Times New Roman" w:hAnsi="Verdana" w:cs="Times New Roman"/>
        <w:color w:val="F26334"/>
        <w:sz w:val="14"/>
        <w:szCs w:val="14"/>
        <w:u w:val="single"/>
      </w:rPr>
      <w:t>fr</w:t>
    </w:r>
    <w:r w:rsidRPr="0094541B">
      <w:rPr>
        <w:rFonts w:ascii="Verdana" w:eastAsia="Times New Roman" w:hAnsi="Verdana" w:cs="Times New Roman"/>
        <w:color w:val="F26334"/>
        <w:sz w:val="14"/>
        <w:szCs w:val="14"/>
        <w:lang w:val="en-GB"/>
      </w:rPr>
      <w:fldChar w:fldCharType="end"/>
    </w:r>
    <w:r w:rsidR="00E414CD" w:rsidRPr="00E414CD">
      <w:rPr>
        <w:rFonts w:ascii="Verdana" w:eastAsia="Times New Roman" w:hAnsi="Verdana" w:cs="Times New Roman"/>
        <w:color w:val="F26334"/>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37" w:rsidRDefault="009B7B37" w:rsidP="0094541B">
      <w:pPr>
        <w:spacing w:after="0" w:line="240" w:lineRule="auto"/>
      </w:pPr>
      <w:r>
        <w:separator/>
      </w:r>
    </w:p>
  </w:footnote>
  <w:footnote w:type="continuationSeparator" w:id="0">
    <w:p w:rsidR="009B7B37" w:rsidRDefault="009B7B37" w:rsidP="0094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1B" w:rsidRDefault="0094541B">
    <w:pPr>
      <w:pStyle w:val="En-tte"/>
    </w:pPr>
    <w:r>
      <w:rPr>
        <w:noProof/>
        <w:lang w:eastAsia="fr-FR"/>
      </w:rPr>
      <w:drawing>
        <wp:anchor distT="0" distB="0" distL="114300" distR="114300" simplePos="0" relativeHeight="251667456" behindDoc="1" locked="1" layoutInCell="1" allowOverlap="1" wp14:anchorId="028054D2" wp14:editId="1042BD54">
          <wp:simplePos x="0" y="0"/>
          <wp:positionH relativeFrom="margin">
            <wp:posOffset>4019550</wp:posOffset>
          </wp:positionH>
          <wp:positionV relativeFrom="page">
            <wp:posOffset>681355</wp:posOffset>
          </wp:positionV>
          <wp:extent cx="1975485" cy="107950"/>
          <wp:effectExtent l="0" t="0" r="5715" b="6350"/>
          <wp:wrapTight wrapText="bothSides">
            <wp:wrapPolygon edited="0">
              <wp:start x="0" y="0"/>
              <wp:lineTo x="0" y="19059"/>
              <wp:lineTo x="1458" y="19059"/>
              <wp:lineTo x="21454" y="19059"/>
              <wp:lineTo x="21454" y="0"/>
              <wp:lineTo x="191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Tagline_Only_Large_2014-12-17_RBG.png"/>
                  <pic:cNvPicPr/>
                </pic:nvPicPr>
                <pic:blipFill>
                  <a:blip r:embed="rId1">
                    <a:extLst>
                      <a:ext uri="{28A0092B-C50C-407E-A947-70E740481C1C}">
                        <a14:useLocalDpi xmlns:a14="http://schemas.microsoft.com/office/drawing/2010/main" val="0"/>
                      </a:ext>
                    </a:extLst>
                  </a:blip>
                  <a:stretch>
                    <a:fillRect/>
                  </a:stretch>
                </pic:blipFill>
                <pic:spPr>
                  <a:xfrm>
                    <a:off x="0" y="0"/>
                    <a:ext cx="1975485" cy="10795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5408" behindDoc="0" locked="0" layoutInCell="1" allowOverlap="1" wp14:anchorId="087008C9" wp14:editId="4D0DB360">
          <wp:simplePos x="0" y="0"/>
          <wp:positionH relativeFrom="margin">
            <wp:align>left</wp:align>
          </wp:positionH>
          <wp:positionV relativeFrom="paragraph">
            <wp:posOffset>-635</wp:posOffset>
          </wp:positionV>
          <wp:extent cx="1008000" cy="59760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S1_France_Large_RGB_2014-12-17.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8000" cy="59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1B" w:rsidRDefault="0094541B">
    <w:pPr>
      <w:pStyle w:val="En-tte"/>
    </w:pPr>
    <w:r>
      <w:rPr>
        <w:noProof/>
        <w:lang w:eastAsia="fr-FR"/>
      </w:rPr>
      <w:drawing>
        <wp:anchor distT="0" distB="0" distL="114300" distR="114300" simplePos="0" relativeHeight="251661312" behindDoc="1" locked="1" layoutInCell="1" allowOverlap="1" wp14:anchorId="58F8978B" wp14:editId="53DA854A">
          <wp:simplePos x="0" y="0"/>
          <wp:positionH relativeFrom="page">
            <wp:posOffset>5040630</wp:posOffset>
          </wp:positionH>
          <wp:positionV relativeFrom="page">
            <wp:posOffset>954405</wp:posOffset>
          </wp:positionV>
          <wp:extent cx="1976400" cy="108000"/>
          <wp:effectExtent l="0" t="0" r="5080" b="6350"/>
          <wp:wrapTight wrapText="bothSides">
            <wp:wrapPolygon edited="0">
              <wp:start x="0" y="0"/>
              <wp:lineTo x="0" y="19059"/>
              <wp:lineTo x="1458" y="19059"/>
              <wp:lineTo x="21447" y="19059"/>
              <wp:lineTo x="21447" y="0"/>
              <wp:lineTo x="19157" y="0"/>
              <wp:lineTo x="0" y="0"/>
            </wp:wrapPolygon>
          </wp:wrapTigh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Tagline_Only_Large_2014-12-17_RBG.png"/>
                  <pic:cNvPicPr/>
                </pic:nvPicPr>
                <pic:blipFill>
                  <a:blip r:embed="rId1">
                    <a:extLst>
                      <a:ext uri="{28A0092B-C50C-407E-A947-70E740481C1C}">
                        <a14:useLocalDpi xmlns:a14="http://schemas.microsoft.com/office/drawing/2010/main" val="0"/>
                      </a:ext>
                    </a:extLst>
                  </a:blip>
                  <a:stretch>
                    <a:fillRect/>
                  </a:stretch>
                </pic:blipFill>
                <pic:spPr>
                  <a:xfrm>
                    <a:off x="0" y="0"/>
                    <a:ext cx="1976400" cy="1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76C7D04D" wp14:editId="6A8F03FC">
          <wp:simplePos x="0" y="0"/>
          <wp:positionH relativeFrom="margin">
            <wp:posOffset>-158115</wp:posOffset>
          </wp:positionH>
          <wp:positionV relativeFrom="page">
            <wp:posOffset>448310</wp:posOffset>
          </wp:positionV>
          <wp:extent cx="1407600" cy="835200"/>
          <wp:effectExtent l="0" t="0" r="2540" b="317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S1_France_Large_RGB_2014-12-17.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7600" cy="83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01F34"/>
    <w:multiLevelType w:val="hybridMultilevel"/>
    <w:tmpl w:val="91E68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AC3BC7"/>
    <w:multiLevelType w:val="hybridMultilevel"/>
    <w:tmpl w:val="373ED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F23C79"/>
    <w:multiLevelType w:val="multilevel"/>
    <w:tmpl w:val="670E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065358"/>
    <w:multiLevelType w:val="hybridMultilevel"/>
    <w:tmpl w:val="55D41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BD1638"/>
    <w:multiLevelType w:val="multilevel"/>
    <w:tmpl w:val="5314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82130F"/>
    <w:multiLevelType w:val="hybridMultilevel"/>
    <w:tmpl w:val="A2CAA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DA55B8"/>
    <w:multiLevelType w:val="hybridMultilevel"/>
    <w:tmpl w:val="420C1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DE"/>
    <w:rsid w:val="00002413"/>
    <w:rsid w:val="0000581A"/>
    <w:rsid w:val="00010629"/>
    <w:rsid w:val="00010C85"/>
    <w:rsid w:val="00013FB7"/>
    <w:rsid w:val="00023F07"/>
    <w:rsid w:val="00034FE3"/>
    <w:rsid w:val="00061119"/>
    <w:rsid w:val="00082C7F"/>
    <w:rsid w:val="000A1CE6"/>
    <w:rsid w:val="000F2E1F"/>
    <w:rsid w:val="001104B4"/>
    <w:rsid w:val="00112D8B"/>
    <w:rsid w:val="0012682D"/>
    <w:rsid w:val="00135E12"/>
    <w:rsid w:val="0014527F"/>
    <w:rsid w:val="00156236"/>
    <w:rsid w:val="001607D9"/>
    <w:rsid w:val="00160C7D"/>
    <w:rsid w:val="001623FA"/>
    <w:rsid w:val="00166A90"/>
    <w:rsid w:val="001676C7"/>
    <w:rsid w:val="0017743D"/>
    <w:rsid w:val="00183C40"/>
    <w:rsid w:val="00193CA3"/>
    <w:rsid w:val="001C3C1E"/>
    <w:rsid w:val="001C6198"/>
    <w:rsid w:val="001D7DA1"/>
    <w:rsid w:val="001E664A"/>
    <w:rsid w:val="001E78A1"/>
    <w:rsid w:val="001F3E65"/>
    <w:rsid w:val="00202D2F"/>
    <w:rsid w:val="00216510"/>
    <w:rsid w:val="00217905"/>
    <w:rsid w:val="00230267"/>
    <w:rsid w:val="00232906"/>
    <w:rsid w:val="00240C20"/>
    <w:rsid w:val="00244944"/>
    <w:rsid w:val="00254EEB"/>
    <w:rsid w:val="002860E4"/>
    <w:rsid w:val="002A2F96"/>
    <w:rsid w:val="002A5435"/>
    <w:rsid w:val="002C2BFA"/>
    <w:rsid w:val="002C55AF"/>
    <w:rsid w:val="002E1847"/>
    <w:rsid w:val="002F0CAA"/>
    <w:rsid w:val="002F4B00"/>
    <w:rsid w:val="00335FD0"/>
    <w:rsid w:val="0034299A"/>
    <w:rsid w:val="00346777"/>
    <w:rsid w:val="003613FE"/>
    <w:rsid w:val="00397030"/>
    <w:rsid w:val="003F002E"/>
    <w:rsid w:val="004069EE"/>
    <w:rsid w:val="00436E0D"/>
    <w:rsid w:val="00437991"/>
    <w:rsid w:val="004735DB"/>
    <w:rsid w:val="0049735E"/>
    <w:rsid w:val="004B393B"/>
    <w:rsid w:val="004B6E4E"/>
    <w:rsid w:val="004D5EA6"/>
    <w:rsid w:val="004E27E7"/>
    <w:rsid w:val="004E5F4F"/>
    <w:rsid w:val="004E65B0"/>
    <w:rsid w:val="00501E43"/>
    <w:rsid w:val="005319A9"/>
    <w:rsid w:val="00551543"/>
    <w:rsid w:val="00582514"/>
    <w:rsid w:val="00591FD8"/>
    <w:rsid w:val="005A2654"/>
    <w:rsid w:val="005A41A6"/>
    <w:rsid w:val="005A5CBD"/>
    <w:rsid w:val="005D4DAA"/>
    <w:rsid w:val="005D7E96"/>
    <w:rsid w:val="005E4CCD"/>
    <w:rsid w:val="005E7459"/>
    <w:rsid w:val="00602754"/>
    <w:rsid w:val="00614B3C"/>
    <w:rsid w:val="006176D4"/>
    <w:rsid w:val="00624FA6"/>
    <w:rsid w:val="006379C4"/>
    <w:rsid w:val="00656583"/>
    <w:rsid w:val="00665F6F"/>
    <w:rsid w:val="00677B0A"/>
    <w:rsid w:val="00683D85"/>
    <w:rsid w:val="006C5CD3"/>
    <w:rsid w:val="0070185F"/>
    <w:rsid w:val="00702AF6"/>
    <w:rsid w:val="00704AF4"/>
    <w:rsid w:val="00706677"/>
    <w:rsid w:val="0071761F"/>
    <w:rsid w:val="00721880"/>
    <w:rsid w:val="007445CA"/>
    <w:rsid w:val="00771624"/>
    <w:rsid w:val="00781743"/>
    <w:rsid w:val="0079700F"/>
    <w:rsid w:val="007A4D99"/>
    <w:rsid w:val="007B4243"/>
    <w:rsid w:val="007C5ACB"/>
    <w:rsid w:val="007C6157"/>
    <w:rsid w:val="007D2AE9"/>
    <w:rsid w:val="007E39C5"/>
    <w:rsid w:val="007F1BEC"/>
    <w:rsid w:val="008031DE"/>
    <w:rsid w:val="008234E3"/>
    <w:rsid w:val="00843EE8"/>
    <w:rsid w:val="008473EE"/>
    <w:rsid w:val="00851786"/>
    <w:rsid w:val="00882539"/>
    <w:rsid w:val="008870FE"/>
    <w:rsid w:val="008932DE"/>
    <w:rsid w:val="0089739F"/>
    <w:rsid w:val="00897F56"/>
    <w:rsid w:val="008C40B8"/>
    <w:rsid w:val="008D0904"/>
    <w:rsid w:val="008D3797"/>
    <w:rsid w:val="008E12BB"/>
    <w:rsid w:val="008E4077"/>
    <w:rsid w:val="008F2227"/>
    <w:rsid w:val="008F4F41"/>
    <w:rsid w:val="00901790"/>
    <w:rsid w:val="0090542A"/>
    <w:rsid w:val="0094541B"/>
    <w:rsid w:val="00947C1C"/>
    <w:rsid w:val="00952797"/>
    <w:rsid w:val="009772B9"/>
    <w:rsid w:val="009B1D81"/>
    <w:rsid w:val="009B7B37"/>
    <w:rsid w:val="009C28CB"/>
    <w:rsid w:val="009C3D2E"/>
    <w:rsid w:val="009E6514"/>
    <w:rsid w:val="009F7420"/>
    <w:rsid w:val="00A00F0A"/>
    <w:rsid w:val="00A077BB"/>
    <w:rsid w:val="00A22BE6"/>
    <w:rsid w:val="00A31003"/>
    <w:rsid w:val="00A772F9"/>
    <w:rsid w:val="00A84421"/>
    <w:rsid w:val="00AB33CF"/>
    <w:rsid w:val="00AD6A0A"/>
    <w:rsid w:val="00B01957"/>
    <w:rsid w:val="00B054F6"/>
    <w:rsid w:val="00B05A20"/>
    <w:rsid w:val="00B4417D"/>
    <w:rsid w:val="00B541F3"/>
    <w:rsid w:val="00B810A4"/>
    <w:rsid w:val="00B92CC4"/>
    <w:rsid w:val="00BA232C"/>
    <w:rsid w:val="00BB04B0"/>
    <w:rsid w:val="00BE48DC"/>
    <w:rsid w:val="00BE4DFD"/>
    <w:rsid w:val="00C17033"/>
    <w:rsid w:val="00C35B56"/>
    <w:rsid w:val="00C43298"/>
    <w:rsid w:val="00C6394C"/>
    <w:rsid w:val="00C73AB7"/>
    <w:rsid w:val="00C752A5"/>
    <w:rsid w:val="00C921C9"/>
    <w:rsid w:val="00CE5070"/>
    <w:rsid w:val="00CE7783"/>
    <w:rsid w:val="00D147A9"/>
    <w:rsid w:val="00D41B1F"/>
    <w:rsid w:val="00D62FAF"/>
    <w:rsid w:val="00D6302E"/>
    <w:rsid w:val="00D70D4C"/>
    <w:rsid w:val="00D71044"/>
    <w:rsid w:val="00DA5B99"/>
    <w:rsid w:val="00DC4AAA"/>
    <w:rsid w:val="00DD2C7F"/>
    <w:rsid w:val="00DE279C"/>
    <w:rsid w:val="00E06508"/>
    <w:rsid w:val="00E21DD4"/>
    <w:rsid w:val="00E23583"/>
    <w:rsid w:val="00E414CD"/>
    <w:rsid w:val="00E4211A"/>
    <w:rsid w:val="00E717D1"/>
    <w:rsid w:val="00E831DB"/>
    <w:rsid w:val="00E9673C"/>
    <w:rsid w:val="00EC0967"/>
    <w:rsid w:val="00EC6F48"/>
    <w:rsid w:val="00EE0824"/>
    <w:rsid w:val="00F41BB7"/>
    <w:rsid w:val="00F50586"/>
    <w:rsid w:val="00F97706"/>
    <w:rsid w:val="00FA1E25"/>
    <w:rsid w:val="00FB6B3B"/>
    <w:rsid w:val="00FE04A0"/>
    <w:rsid w:val="00FF6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3070F25-0E26-42E7-9313-B9806D0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2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541B"/>
    <w:pPr>
      <w:tabs>
        <w:tab w:val="center" w:pos="4536"/>
        <w:tab w:val="right" w:pos="9072"/>
      </w:tabs>
      <w:spacing w:after="0" w:line="240" w:lineRule="auto"/>
    </w:pPr>
  </w:style>
  <w:style w:type="character" w:customStyle="1" w:styleId="En-tteCar">
    <w:name w:val="En-tête Car"/>
    <w:basedOn w:val="Policepardfaut"/>
    <w:link w:val="En-tte"/>
    <w:uiPriority w:val="99"/>
    <w:rsid w:val="0094541B"/>
  </w:style>
  <w:style w:type="paragraph" w:styleId="Pieddepage">
    <w:name w:val="footer"/>
    <w:basedOn w:val="Normal"/>
    <w:link w:val="PieddepageCar"/>
    <w:uiPriority w:val="99"/>
    <w:unhideWhenUsed/>
    <w:rsid w:val="009454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41B"/>
  </w:style>
  <w:style w:type="character" w:styleId="Lienhypertexte">
    <w:name w:val="Hyperlink"/>
    <w:basedOn w:val="Policepardfaut"/>
    <w:rsid w:val="0094541B"/>
    <w:rPr>
      <w:color w:val="0000FF"/>
      <w:u w:val="single"/>
    </w:rPr>
  </w:style>
  <w:style w:type="paragraph" w:styleId="Paragraphedeliste">
    <w:name w:val="List Paragraph"/>
    <w:basedOn w:val="Normal"/>
    <w:uiPriority w:val="34"/>
    <w:qFormat/>
    <w:rsid w:val="008E12BB"/>
    <w:pPr>
      <w:ind w:left="720"/>
      <w:contextualSpacing/>
    </w:pPr>
  </w:style>
  <w:style w:type="paragraph" w:customStyle="1" w:styleId="Default">
    <w:name w:val="Default"/>
    <w:rsid w:val="008E12BB"/>
    <w:pPr>
      <w:autoSpaceDE w:val="0"/>
      <w:autoSpaceDN w:val="0"/>
      <w:adjustRightInd w:val="0"/>
      <w:spacing w:after="0" w:line="240" w:lineRule="auto"/>
    </w:pPr>
    <w:rPr>
      <w:rFonts w:ascii="Verdana" w:hAnsi="Verdana" w:cs="Verdana"/>
      <w:color w:val="000000"/>
      <w:sz w:val="24"/>
      <w:szCs w:val="24"/>
    </w:rPr>
  </w:style>
  <w:style w:type="character" w:styleId="lev">
    <w:name w:val="Strong"/>
    <w:basedOn w:val="Policepardfaut"/>
    <w:uiPriority w:val="22"/>
    <w:qFormat/>
    <w:rsid w:val="00023F07"/>
    <w:rPr>
      <w:b/>
      <w:bCs/>
    </w:rPr>
  </w:style>
  <w:style w:type="paragraph" w:styleId="Textedebulles">
    <w:name w:val="Balloon Text"/>
    <w:basedOn w:val="Normal"/>
    <w:link w:val="TextedebullesCar"/>
    <w:uiPriority w:val="99"/>
    <w:semiHidden/>
    <w:unhideWhenUsed/>
    <w:rsid w:val="008F4F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4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hutton@gs1f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s1.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gs1f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e.muller\Documents\Mod&#232;les%20Office%20personnalis&#233;s\papier%20en-t&#234;te%20GS1%20France%20201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4804-F62A-42DB-952A-70A5B0AC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en-tête GS1 France 2015</Template>
  <TotalTime>174</TotalTime>
  <Pages>4</Pages>
  <Words>1640</Words>
  <Characters>9020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Muller</dc:creator>
  <cp:keywords/>
  <dc:description/>
  <cp:lastModifiedBy>Julien Hutton</cp:lastModifiedBy>
  <cp:revision>15</cp:revision>
  <cp:lastPrinted>2017-10-11T14:02:00Z</cp:lastPrinted>
  <dcterms:created xsi:type="dcterms:W3CDTF">2017-10-11T12:23:00Z</dcterms:created>
  <dcterms:modified xsi:type="dcterms:W3CDTF">2017-10-16T14:09:00Z</dcterms:modified>
</cp:coreProperties>
</file>